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23" w:rsidRPr="00A30D36" w:rsidRDefault="008B3BB8" w:rsidP="00A84D03">
      <w:pPr>
        <w:pStyle w:val="Heading1"/>
        <w:pBdr>
          <w:bottom w:val="single" w:sz="18" w:space="1" w:color="auto"/>
        </w:pBdr>
        <w:jc w:val="center"/>
        <w:rPr>
          <w:rFonts w:ascii="Times New Roman" w:hAnsi="Times New Roman" w:cs="Times New Roman"/>
          <w:b/>
          <w:color w:val="auto"/>
          <w:sz w:val="24"/>
          <w:szCs w:val="24"/>
        </w:rPr>
      </w:pPr>
      <w:r>
        <w:rPr>
          <w:rFonts w:ascii="Times New Roman" w:hAnsi="Times New Roman" w:cs="Times New Roman"/>
          <w:b/>
          <w:color w:val="auto"/>
          <w:sz w:val="24"/>
          <w:szCs w:val="24"/>
        </w:rPr>
        <w:t>Virginia Department of Education</w:t>
      </w:r>
      <w:bookmarkStart w:id="0" w:name="_GoBack"/>
      <w:bookmarkEnd w:id="0"/>
      <w:r w:rsidR="00A84D03" w:rsidRPr="00A30D36">
        <w:rPr>
          <w:rFonts w:ascii="Times New Roman" w:hAnsi="Times New Roman" w:cs="Times New Roman"/>
          <w:b/>
          <w:color w:val="auto"/>
          <w:sz w:val="24"/>
          <w:szCs w:val="24"/>
        </w:rPr>
        <w:br/>
      </w:r>
      <w:r w:rsidR="00043F9D" w:rsidRPr="00A30D36">
        <w:rPr>
          <w:rFonts w:ascii="Times New Roman" w:hAnsi="Times New Roman" w:cs="Times New Roman"/>
          <w:b/>
          <w:smallCaps/>
          <w:color w:val="auto"/>
          <w:sz w:val="24"/>
          <w:szCs w:val="24"/>
        </w:rPr>
        <w:t>Neighborhood Assist</w:t>
      </w:r>
      <w:r w:rsidR="004669F0" w:rsidRPr="00A30D36">
        <w:rPr>
          <w:rFonts w:ascii="Times New Roman" w:hAnsi="Times New Roman" w:cs="Times New Roman"/>
          <w:b/>
          <w:smallCaps/>
          <w:color w:val="auto"/>
          <w:sz w:val="24"/>
          <w:szCs w:val="24"/>
        </w:rPr>
        <w:t>a</w:t>
      </w:r>
      <w:r w:rsidR="00D075BE" w:rsidRPr="00A30D36">
        <w:rPr>
          <w:rFonts w:ascii="Times New Roman" w:hAnsi="Times New Roman" w:cs="Times New Roman"/>
          <w:b/>
          <w:smallCaps/>
          <w:color w:val="auto"/>
          <w:sz w:val="24"/>
          <w:szCs w:val="24"/>
        </w:rPr>
        <w:t>n</w:t>
      </w:r>
      <w:r w:rsidR="00043F9D" w:rsidRPr="00A30D36">
        <w:rPr>
          <w:rFonts w:ascii="Times New Roman" w:hAnsi="Times New Roman" w:cs="Times New Roman"/>
          <w:b/>
          <w:smallCaps/>
          <w:color w:val="auto"/>
          <w:sz w:val="24"/>
          <w:szCs w:val="24"/>
        </w:rPr>
        <w:t>ce Tax Credit Program for Education</w:t>
      </w:r>
      <w:r w:rsidR="007F2123" w:rsidRPr="00A30D36">
        <w:rPr>
          <w:rFonts w:ascii="Times New Roman" w:hAnsi="Times New Roman" w:cs="Times New Roman"/>
          <w:b/>
          <w:smallCaps/>
          <w:color w:val="auto"/>
          <w:sz w:val="24"/>
          <w:szCs w:val="24"/>
        </w:rPr>
        <w:t xml:space="preserve"> </w:t>
      </w:r>
      <w:r w:rsidR="00A84D03" w:rsidRPr="00A30D36">
        <w:rPr>
          <w:rFonts w:ascii="Times New Roman" w:hAnsi="Times New Roman" w:cs="Times New Roman"/>
          <w:b/>
          <w:smallCaps/>
          <w:color w:val="auto"/>
          <w:sz w:val="24"/>
          <w:szCs w:val="24"/>
        </w:rPr>
        <w:br/>
      </w:r>
      <w:r w:rsidR="0093673F" w:rsidRPr="00A30D36">
        <w:rPr>
          <w:rFonts w:ascii="Times New Roman" w:hAnsi="Times New Roman" w:cs="Times New Roman"/>
          <w:b/>
          <w:smallCaps/>
          <w:color w:val="auto"/>
          <w:sz w:val="24"/>
          <w:szCs w:val="24"/>
        </w:rPr>
        <w:t>Tax Credit Request (TCR)</w:t>
      </w:r>
      <w:r w:rsidR="00043F9D" w:rsidRPr="00A30D36">
        <w:rPr>
          <w:rFonts w:ascii="Times New Roman" w:hAnsi="Times New Roman" w:cs="Times New Roman"/>
          <w:b/>
          <w:smallCaps/>
          <w:color w:val="auto"/>
          <w:sz w:val="24"/>
          <w:szCs w:val="24"/>
        </w:rPr>
        <w:t xml:space="preserve"> Form Instructions</w:t>
      </w:r>
    </w:p>
    <w:p w:rsidR="00084D0C" w:rsidRPr="00431520" w:rsidRDefault="00D47FCD" w:rsidP="00431520">
      <w:pPr>
        <w:spacing w:before="120"/>
        <w:rPr>
          <w:rFonts w:ascii="Times New Roman" w:hAnsi="Times New Roman"/>
        </w:rPr>
      </w:pPr>
      <w:r w:rsidRPr="00431520">
        <w:rPr>
          <w:rFonts w:ascii="Times New Roman" w:hAnsi="Times New Roman"/>
        </w:rPr>
        <w:t>Please be aware that effective July 1, 2018, the TCR Form will be separated into two forms.  Individual donors must now use TCR-I, and Business donors must now use TCR-B.</w:t>
      </w:r>
      <w:r w:rsidR="00181803" w:rsidRPr="00431520">
        <w:rPr>
          <w:rFonts w:ascii="Times New Roman" w:hAnsi="Times New Roman"/>
        </w:rPr>
        <w:t xml:space="preserve">  Any forms that are submitted to VDOE after September 1, 2018, using an older version will be automatically returned to the neighborhood organization.</w:t>
      </w:r>
    </w:p>
    <w:p w:rsidR="00704F16" w:rsidRPr="00A30D36" w:rsidRDefault="00CC2D45" w:rsidP="00A84D03">
      <w:pPr>
        <w:pStyle w:val="Heading2"/>
        <w:spacing w:before="240"/>
        <w:rPr>
          <w:rFonts w:ascii="Times New Roman" w:hAnsi="Times New Roman" w:cs="Times New Roman"/>
          <w:b/>
          <w:color w:val="auto"/>
          <w:sz w:val="24"/>
          <w:szCs w:val="24"/>
          <w:u w:val="single"/>
        </w:rPr>
      </w:pPr>
      <w:r w:rsidRPr="00A30D36">
        <w:rPr>
          <w:rFonts w:ascii="Times New Roman" w:hAnsi="Times New Roman" w:cs="Times New Roman"/>
          <w:b/>
          <w:color w:val="auto"/>
          <w:sz w:val="24"/>
          <w:szCs w:val="24"/>
          <w:u w:val="single"/>
        </w:rPr>
        <w:t xml:space="preserve">I.  </w:t>
      </w:r>
      <w:r w:rsidR="007F2123" w:rsidRPr="00A30D36">
        <w:rPr>
          <w:rFonts w:ascii="Times New Roman" w:hAnsi="Times New Roman" w:cs="Times New Roman"/>
          <w:b/>
          <w:color w:val="auto"/>
          <w:sz w:val="24"/>
          <w:szCs w:val="24"/>
          <w:u w:val="single"/>
        </w:rPr>
        <w:t>Overview:</w:t>
      </w:r>
    </w:p>
    <w:p w:rsidR="007F2123" w:rsidRPr="00A30D36" w:rsidRDefault="007F2123" w:rsidP="005C44C1">
      <w:pPr>
        <w:pStyle w:val="ListParagraph"/>
        <w:numPr>
          <w:ilvl w:val="0"/>
          <w:numId w:val="20"/>
        </w:numPr>
        <w:spacing w:before="120" w:after="120"/>
        <w:contextualSpacing w:val="0"/>
        <w:rPr>
          <w:rFonts w:ascii="Times New Roman" w:hAnsi="Times New Roman"/>
          <w:szCs w:val="24"/>
        </w:rPr>
      </w:pPr>
      <w:r w:rsidRPr="00A30D36">
        <w:rPr>
          <w:rFonts w:ascii="Times New Roman" w:hAnsi="Times New Roman"/>
          <w:szCs w:val="24"/>
        </w:rPr>
        <w:t>The Virginia Department of Education (</w:t>
      </w:r>
      <w:r w:rsidR="003133FE" w:rsidRPr="00A30D36">
        <w:rPr>
          <w:rFonts w:ascii="Times New Roman" w:hAnsi="Times New Roman"/>
          <w:szCs w:val="24"/>
        </w:rPr>
        <w:t>V</w:t>
      </w:r>
      <w:r w:rsidRPr="00A30D36">
        <w:rPr>
          <w:rFonts w:ascii="Times New Roman" w:hAnsi="Times New Roman"/>
          <w:szCs w:val="24"/>
        </w:rPr>
        <w:t xml:space="preserve">DOE) administers a program allowing individuals and businesses to receive state tax credits for donations to approved nonprofit organizations that provide scholastic instruction or scholastic assistance to low–income persons or eligible students with a disability.  </w:t>
      </w:r>
      <w:bookmarkStart w:id="1" w:name="OLE_LINK6"/>
      <w:bookmarkStart w:id="2" w:name="OLE_LINK7"/>
      <w:r w:rsidRPr="00A30D36">
        <w:rPr>
          <w:rFonts w:ascii="Times New Roman" w:hAnsi="Times New Roman"/>
          <w:szCs w:val="24"/>
        </w:rPr>
        <w:t xml:space="preserve">Approved neighborhood assistance program (NAP) organizations for the current program year (i.e., July 1 – June 30), and the current </w:t>
      </w:r>
      <w:r w:rsidR="0093673F" w:rsidRPr="00A30D36">
        <w:rPr>
          <w:rFonts w:ascii="Times New Roman" w:hAnsi="Times New Roman"/>
          <w:szCs w:val="24"/>
        </w:rPr>
        <w:t>Tax Credit Request (TCR)</w:t>
      </w:r>
      <w:r w:rsidRPr="00A30D36">
        <w:rPr>
          <w:rFonts w:ascii="Times New Roman" w:hAnsi="Times New Roman"/>
          <w:szCs w:val="24"/>
        </w:rPr>
        <w:t xml:space="preserve"> Form</w:t>
      </w:r>
      <w:r w:rsidR="00CC4091" w:rsidRPr="00A30D36">
        <w:rPr>
          <w:rFonts w:ascii="Times New Roman" w:hAnsi="Times New Roman"/>
          <w:szCs w:val="24"/>
        </w:rPr>
        <w:t>s</w:t>
      </w:r>
      <w:r w:rsidRPr="00A30D36">
        <w:rPr>
          <w:rFonts w:ascii="Times New Roman" w:hAnsi="Times New Roman"/>
          <w:szCs w:val="24"/>
        </w:rPr>
        <w:t xml:space="preserve">, are available at the following Web address: </w:t>
      </w:r>
      <w:r w:rsidR="00131EE2" w:rsidRPr="00A30D36">
        <w:rPr>
          <w:rFonts w:ascii="Times New Roman" w:hAnsi="Times New Roman"/>
          <w:szCs w:val="24"/>
        </w:rPr>
        <w:t>http://www.doe.virginia.gov/school_finance/neighborhood_assistance_act/index.shtml</w:t>
      </w:r>
      <w:r w:rsidR="00502CA6" w:rsidRPr="00A30D36">
        <w:rPr>
          <w:rFonts w:ascii="Times New Roman" w:hAnsi="Times New Roman"/>
          <w:szCs w:val="24"/>
        </w:rPr>
        <w:t>.</w:t>
      </w:r>
    </w:p>
    <w:bookmarkEnd w:id="1"/>
    <w:bookmarkEnd w:id="2"/>
    <w:p w:rsidR="00813152" w:rsidRPr="00A30D36" w:rsidRDefault="00813152" w:rsidP="00813152">
      <w:pPr>
        <w:pStyle w:val="ListParagraph"/>
        <w:numPr>
          <w:ilvl w:val="0"/>
          <w:numId w:val="20"/>
        </w:numPr>
        <w:spacing w:before="120" w:after="120"/>
        <w:contextualSpacing w:val="0"/>
        <w:rPr>
          <w:rFonts w:ascii="Times New Roman" w:hAnsi="Times New Roman"/>
          <w:szCs w:val="24"/>
        </w:rPr>
      </w:pPr>
      <w:r w:rsidRPr="00A30D36">
        <w:rPr>
          <w:rFonts w:ascii="Times New Roman" w:hAnsi="Times New Roman"/>
          <w:bCs/>
          <w:szCs w:val="24"/>
        </w:rPr>
        <w:t xml:space="preserve">Prior to making a donation, the donor is responsible for consulting with the NAP organization to ensure the availability of NAP tax credits. </w:t>
      </w:r>
      <w:r w:rsidRPr="00A30D36">
        <w:rPr>
          <w:rFonts w:ascii="Times New Roman" w:hAnsi="Times New Roman"/>
          <w:szCs w:val="24"/>
        </w:rPr>
        <w:t>NAP tax credits are limited and availability is based on the annual allocation of credits t</w:t>
      </w:r>
      <w:r w:rsidR="004401B1">
        <w:rPr>
          <w:rFonts w:ascii="Times New Roman" w:hAnsi="Times New Roman"/>
          <w:szCs w:val="24"/>
        </w:rPr>
        <w:t>o an approved NAP organization.</w:t>
      </w:r>
    </w:p>
    <w:p w:rsidR="00D60D37" w:rsidRPr="00A30D36" w:rsidRDefault="008D4A54" w:rsidP="005C44C1">
      <w:pPr>
        <w:pStyle w:val="ListParagraph"/>
        <w:numPr>
          <w:ilvl w:val="0"/>
          <w:numId w:val="20"/>
        </w:numPr>
        <w:spacing w:before="120" w:after="120"/>
        <w:contextualSpacing w:val="0"/>
        <w:rPr>
          <w:rFonts w:ascii="Times New Roman" w:hAnsi="Times New Roman"/>
          <w:bCs/>
          <w:szCs w:val="24"/>
        </w:rPr>
      </w:pPr>
      <w:r w:rsidRPr="00A30D36">
        <w:rPr>
          <w:rFonts w:ascii="Times New Roman" w:hAnsi="Times New Roman"/>
          <w:bCs/>
          <w:szCs w:val="24"/>
        </w:rPr>
        <w:t>Qualified donations are eligible for a state tax credit of not more than</w:t>
      </w:r>
      <w:r w:rsidR="008E1E9D" w:rsidRPr="00A30D36">
        <w:rPr>
          <w:rFonts w:ascii="Times New Roman" w:hAnsi="Times New Roman"/>
          <w:szCs w:val="24"/>
        </w:rPr>
        <w:t xml:space="preserve"> 65</w:t>
      </w:r>
      <w:r w:rsidR="004341F5" w:rsidRPr="00A30D36">
        <w:rPr>
          <w:rFonts w:ascii="Times New Roman" w:hAnsi="Times New Roman"/>
          <w:szCs w:val="24"/>
        </w:rPr>
        <w:t xml:space="preserve"> percent </w:t>
      </w:r>
      <w:r w:rsidR="00704F16" w:rsidRPr="00A30D36">
        <w:rPr>
          <w:rFonts w:ascii="Times New Roman" w:hAnsi="Times New Roman"/>
          <w:szCs w:val="24"/>
        </w:rPr>
        <w:t>of the donation value.</w:t>
      </w:r>
      <w:r w:rsidR="00955ADD" w:rsidRPr="00A30D36">
        <w:rPr>
          <w:rFonts w:ascii="Times New Roman" w:hAnsi="Times New Roman"/>
          <w:bCs/>
          <w:szCs w:val="24"/>
        </w:rPr>
        <w:t xml:space="preserve">  </w:t>
      </w:r>
      <w:r w:rsidR="0058618C" w:rsidRPr="00A30D36">
        <w:rPr>
          <w:rFonts w:ascii="Times New Roman" w:hAnsi="Times New Roman"/>
          <w:bCs/>
          <w:szCs w:val="24"/>
        </w:rPr>
        <w:t>Value, date of donation, and required documentation are discussed</w:t>
      </w:r>
      <w:r w:rsidR="00813152" w:rsidRPr="00A30D36">
        <w:rPr>
          <w:rFonts w:ascii="Times New Roman" w:hAnsi="Times New Roman"/>
          <w:bCs/>
          <w:szCs w:val="24"/>
        </w:rPr>
        <w:t xml:space="preserve"> </w:t>
      </w:r>
      <w:r w:rsidR="00135757" w:rsidRPr="00A30D36">
        <w:rPr>
          <w:rFonts w:ascii="Times New Roman" w:hAnsi="Times New Roman"/>
          <w:bCs/>
          <w:szCs w:val="24"/>
        </w:rPr>
        <w:t>in Section III</w:t>
      </w:r>
      <w:r w:rsidR="0058618C" w:rsidRPr="00A30D36">
        <w:rPr>
          <w:rFonts w:ascii="Times New Roman" w:hAnsi="Times New Roman"/>
          <w:bCs/>
          <w:szCs w:val="24"/>
        </w:rPr>
        <w:t>.</w:t>
      </w:r>
    </w:p>
    <w:p w:rsidR="007F2123" w:rsidRPr="00A30D36" w:rsidRDefault="008D4A54" w:rsidP="005C44C1">
      <w:pPr>
        <w:pStyle w:val="ListParagraph"/>
        <w:numPr>
          <w:ilvl w:val="0"/>
          <w:numId w:val="20"/>
        </w:numPr>
        <w:spacing w:before="120" w:after="120"/>
        <w:contextualSpacing w:val="0"/>
        <w:rPr>
          <w:rFonts w:ascii="Times New Roman" w:hAnsi="Times New Roman"/>
          <w:bCs/>
          <w:szCs w:val="24"/>
        </w:rPr>
      </w:pPr>
      <w:r w:rsidRPr="00A30D36">
        <w:rPr>
          <w:rFonts w:ascii="Times New Roman" w:hAnsi="Times New Roman"/>
          <w:bCs/>
          <w:szCs w:val="24"/>
        </w:rPr>
        <w:t>A</w:t>
      </w:r>
      <w:r w:rsidR="00D60D37" w:rsidRPr="00A30D36">
        <w:rPr>
          <w:rFonts w:ascii="Times New Roman" w:hAnsi="Times New Roman"/>
          <w:bCs/>
          <w:szCs w:val="24"/>
        </w:rPr>
        <w:t xml:space="preserve"> donor may elect to receive a tax credit based on a reduced tax credit percentage.  If a donor elects to receive a tax credit based on a reduced tax credit percentage, then the donor must complete a Tax Credit Percentage Agreement Form, provided on the </w:t>
      </w:r>
      <w:r w:rsidR="003133FE" w:rsidRPr="00A30D36">
        <w:rPr>
          <w:rFonts w:ascii="Times New Roman" w:hAnsi="Times New Roman"/>
          <w:bCs/>
          <w:szCs w:val="24"/>
        </w:rPr>
        <w:t>VDOE</w:t>
      </w:r>
      <w:r w:rsidR="00D60D37" w:rsidRPr="00A30D36">
        <w:rPr>
          <w:rFonts w:ascii="Times New Roman" w:hAnsi="Times New Roman"/>
          <w:bCs/>
          <w:szCs w:val="24"/>
        </w:rPr>
        <w:t xml:space="preserve"> website at: http://www.doe.virginia.gov/school_finance/neighborhood_assistance_act/index.shtml.</w:t>
      </w:r>
    </w:p>
    <w:p w:rsidR="00477E3F" w:rsidRPr="00A30D36" w:rsidRDefault="00477E3F" w:rsidP="00477E3F">
      <w:pPr>
        <w:pStyle w:val="ListParagraph"/>
        <w:numPr>
          <w:ilvl w:val="0"/>
          <w:numId w:val="20"/>
        </w:numPr>
        <w:spacing w:before="120" w:after="120"/>
        <w:contextualSpacing w:val="0"/>
        <w:rPr>
          <w:rFonts w:ascii="Times New Roman" w:hAnsi="Times New Roman"/>
          <w:szCs w:val="24"/>
        </w:rPr>
      </w:pPr>
      <w:r w:rsidRPr="00A30D36">
        <w:rPr>
          <w:rFonts w:ascii="Times New Roman" w:hAnsi="Times New Roman"/>
          <w:szCs w:val="24"/>
        </w:rPr>
        <w:t>Determining the effect of making a donation to receive a tax credit against a donor’s tax liability is the sole responsibility of the donor.  Before making a donation, or when tax-related questions occur, donors are encouraged to seek advice from a tax accountant or other tax advisor.</w:t>
      </w:r>
    </w:p>
    <w:p w:rsidR="00183DFA" w:rsidRPr="00A30D36" w:rsidRDefault="00CC2D45" w:rsidP="00A84D03">
      <w:pPr>
        <w:pStyle w:val="Heading2"/>
        <w:spacing w:before="240"/>
        <w:rPr>
          <w:rFonts w:ascii="Times New Roman" w:hAnsi="Times New Roman" w:cs="Times New Roman"/>
          <w:b/>
          <w:color w:val="auto"/>
          <w:sz w:val="24"/>
          <w:szCs w:val="24"/>
          <w:u w:val="single"/>
        </w:rPr>
      </w:pPr>
      <w:r w:rsidRPr="00A30D36">
        <w:rPr>
          <w:rFonts w:ascii="Times New Roman" w:hAnsi="Times New Roman" w:cs="Times New Roman"/>
          <w:b/>
          <w:color w:val="auto"/>
          <w:sz w:val="24"/>
          <w:szCs w:val="24"/>
          <w:u w:val="single"/>
        </w:rPr>
        <w:t xml:space="preserve">II. </w:t>
      </w:r>
      <w:r w:rsidR="000B3D31" w:rsidRPr="00A30D36">
        <w:rPr>
          <w:rFonts w:ascii="Times New Roman" w:hAnsi="Times New Roman" w:cs="Times New Roman"/>
          <w:b/>
          <w:color w:val="auto"/>
          <w:sz w:val="24"/>
          <w:szCs w:val="24"/>
          <w:u w:val="single"/>
        </w:rPr>
        <w:t>Making a Qualified Donation</w:t>
      </w:r>
      <w:r w:rsidR="007F2123" w:rsidRPr="00A30D36">
        <w:rPr>
          <w:rFonts w:ascii="Times New Roman" w:hAnsi="Times New Roman" w:cs="Times New Roman"/>
          <w:b/>
          <w:color w:val="auto"/>
          <w:sz w:val="24"/>
          <w:szCs w:val="24"/>
          <w:u w:val="single"/>
        </w:rPr>
        <w:t>:</w:t>
      </w:r>
      <w:r w:rsidR="007F2123" w:rsidRPr="00A30D36">
        <w:rPr>
          <w:rFonts w:ascii="Times New Roman" w:hAnsi="Times New Roman" w:cs="Times New Roman"/>
          <w:b/>
          <w:sz w:val="24"/>
          <w:szCs w:val="24"/>
          <w:u w:val="single"/>
        </w:rPr>
        <w:t xml:space="preserve"> </w:t>
      </w:r>
    </w:p>
    <w:p w:rsidR="007F2123" w:rsidRPr="00A30D36" w:rsidRDefault="007F2123" w:rsidP="005C44C1">
      <w:pPr>
        <w:pStyle w:val="ListParagraph"/>
        <w:numPr>
          <w:ilvl w:val="0"/>
          <w:numId w:val="21"/>
        </w:numPr>
        <w:spacing w:before="120" w:after="120"/>
        <w:contextualSpacing w:val="0"/>
        <w:rPr>
          <w:rFonts w:ascii="Times New Roman" w:eastAsia="Calibri" w:hAnsi="Times New Roman"/>
          <w:szCs w:val="24"/>
        </w:rPr>
      </w:pPr>
      <w:r w:rsidRPr="00A30D36">
        <w:rPr>
          <w:rFonts w:ascii="Times New Roman" w:hAnsi="Times New Roman"/>
          <w:bCs/>
          <w:szCs w:val="24"/>
        </w:rPr>
        <w:t>Donations must be made directly to the approv</w:t>
      </w:r>
      <w:r w:rsidR="008A30AA" w:rsidRPr="00A30D36">
        <w:rPr>
          <w:rFonts w:ascii="Times New Roman" w:hAnsi="Times New Roman"/>
          <w:bCs/>
          <w:szCs w:val="24"/>
        </w:rPr>
        <w:t xml:space="preserve">ed NAP </w:t>
      </w:r>
      <w:r w:rsidR="00D075BE" w:rsidRPr="00A30D36">
        <w:rPr>
          <w:rFonts w:ascii="Times New Roman" w:hAnsi="Times New Roman"/>
          <w:bCs/>
          <w:szCs w:val="24"/>
        </w:rPr>
        <w:t xml:space="preserve">organization.  </w:t>
      </w:r>
      <w:r w:rsidR="00B76492" w:rsidRPr="00A30D36">
        <w:rPr>
          <w:rFonts w:ascii="Times New Roman" w:eastAsia="Calibri" w:hAnsi="Times New Roman"/>
          <w:szCs w:val="24"/>
        </w:rPr>
        <w:t>An online donation made to an approved neighborhood organization using a third-party payment processor is permitted provided that the neighborhood organization can provide supporting documentation (receipt, financial statement, etc.) with the following information: donor’s name, the amount of the donation, the date of the donation, and the name of the neighborhood organization receiving the donation.</w:t>
      </w:r>
    </w:p>
    <w:p w:rsidR="00016F55" w:rsidRPr="00A30D36" w:rsidRDefault="00016F55" w:rsidP="005C44C1">
      <w:pPr>
        <w:pStyle w:val="ListParagraph"/>
        <w:numPr>
          <w:ilvl w:val="0"/>
          <w:numId w:val="21"/>
        </w:numPr>
        <w:spacing w:before="120" w:after="120"/>
        <w:contextualSpacing w:val="0"/>
        <w:rPr>
          <w:rFonts w:ascii="Times New Roman" w:eastAsia="Calibri" w:hAnsi="Times New Roman"/>
          <w:szCs w:val="24"/>
        </w:rPr>
      </w:pPr>
      <w:r w:rsidRPr="00A30D36">
        <w:rPr>
          <w:rFonts w:ascii="Times New Roman" w:eastAsia="Calibri" w:hAnsi="Times New Roman"/>
          <w:szCs w:val="24"/>
        </w:rPr>
        <w:t xml:space="preserve">A donation made from a Deferred Charitable Contribution </w:t>
      </w:r>
      <w:r w:rsidR="003948BC" w:rsidRPr="00A30D36">
        <w:rPr>
          <w:rFonts w:ascii="Times New Roman" w:eastAsia="Calibri" w:hAnsi="Times New Roman"/>
          <w:szCs w:val="24"/>
        </w:rPr>
        <w:t>Plan does not constitute a donation made directly to an approved neighborhood organization and, therefore, is not eligible for a tax credit.</w:t>
      </w:r>
    </w:p>
    <w:p w:rsidR="00135757" w:rsidRPr="00A30D36" w:rsidRDefault="00135757" w:rsidP="00135757">
      <w:pPr>
        <w:pStyle w:val="Default"/>
        <w:numPr>
          <w:ilvl w:val="0"/>
          <w:numId w:val="21"/>
        </w:numPr>
        <w:spacing w:before="120" w:after="120"/>
      </w:pPr>
      <w:r w:rsidRPr="00A30D36">
        <w:t xml:space="preserve">Multiple donations </w:t>
      </w:r>
      <w:r w:rsidR="00D15D36" w:rsidRPr="00A30D36">
        <w:t xml:space="preserve">to the same organization </w:t>
      </w:r>
      <w:r w:rsidRPr="00A30D36">
        <w:t xml:space="preserve">less than the minimum amount ($500 for individuals and $616 for businesses) that in total equal or exceed the minimum amount </w:t>
      </w:r>
      <w:r w:rsidRPr="00A30D36">
        <w:lastRenderedPageBreak/>
        <w:t>within the same taxable year may be reported on one TCR Form. A donor can receive additional tax credits for donations that are less than the minimum amount, but only if the donor has already made donations equaling the minimum amount in the same taxable year to the same neighborhood organization.</w:t>
      </w:r>
    </w:p>
    <w:p w:rsidR="00813152" w:rsidRPr="00A30D36" w:rsidRDefault="00CC2D45" w:rsidP="004401B1">
      <w:pPr>
        <w:pStyle w:val="Heading2"/>
        <w:spacing w:before="240"/>
        <w:rPr>
          <w:rFonts w:ascii="Times New Roman" w:hAnsi="Times New Roman" w:cs="Times New Roman"/>
          <w:b/>
          <w:color w:val="auto"/>
          <w:sz w:val="24"/>
          <w:szCs w:val="24"/>
          <w:u w:val="single"/>
        </w:rPr>
      </w:pPr>
      <w:r w:rsidRPr="00A30D36">
        <w:rPr>
          <w:rFonts w:ascii="Times New Roman" w:hAnsi="Times New Roman" w:cs="Times New Roman"/>
          <w:b/>
          <w:color w:val="auto"/>
          <w:sz w:val="24"/>
          <w:szCs w:val="24"/>
          <w:u w:val="single"/>
        </w:rPr>
        <w:t xml:space="preserve">III. </w:t>
      </w:r>
      <w:r w:rsidR="00813152" w:rsidRPr="00A30D36">
        <w:rPr>
          <w:rFonts w:ascii="Times New Roman" w:hAnsi="Times New Roman" w:cs="Times New Roman"/>
          <w:b/>
          <w:color w:val="auto"/>
          <w:sz w:val="24"/>
          <w:szCs w:val="24"/>
          <w:u w:val="single"/>
        </w:rPr>
        <w:t>Value, Date of Donation, and Required Documentation:</w:t>
      </w:r>
    </w:p>
    <w:p w:rsidR="003702A0" w:rsidRPr="00A30D36" w:rsidRDefault="00813152" w:rsidP="00C36B30">
      <w:pPr>
        <w:spacing w:before="120"/>
        <w:rPr>
          <w:rFonts w:ascii="Times New Roman" w:hAnsi="Times New Roman"/>
          <w:bCs/>
          <w:szCs w:val="24"/>
        </w:rPr>
      </w:pPr>
      <w:r w:rsidRPr="00A30D36">
        <w:rPr>
          <w:rFonts w:ascii="Times New Roman" w:hAnsi="Times New Roman"/>
          <w:bCs/>
          <w:szCs w:val="24"/>
        </w:rPr>
        <w:t>The date of donation and value of donations of cash and marketable securities, and for donations of other property and professional services by businesses, are generally as determined for federal income tax purposes using the laws and regulations of the United States rel</w:t>
      </w:r>
      <w:r w:rsidR="004401B1">
        <w:rPr>
          <w:rFonts w:ascii="Times New Roman" w:hAnsi="Times New Roman"/>
          <w:bCs/>
          <w:szCs w:val="24"/>
        </w:rPr>
        <w:t>ating to federal income taxes.</w:t>
      </w:r>
    </w:p>
    <w:p w:rsidR="009D2B4A" w:rsidRPr="00A30D36" w:rsidRDefault="00813152" w:rsidP="00C36B30">
      <w:pPr>
        <w:spacing w:before="120"/>
        <w:rPr>
          <w:rFonts w:ascii="Times New Roman" w:hAnsi="Times New Roman"/>
          <w:szCs w:val="24"/>
        </w:rPr>
      </w:pPr>
      <w:r w:rsidRPr="00A30D36">
        <w:rPr>
          <w:rFonts w:ascii="Times New Roman" w:hAnsi="Times New Roman"/>
          <w:bCs/>
          <w:szCs w:val="24"/>
        </w:rPr>
        <w:t xml:space="preserve">The </w:t>
      </w:r>
      <w:r w:rsidR="00135757" w:rsidRPr="00A30D36">
        <w:rPr>
          <w:rFonts w:ascii="Times New Roman" w:hAnsi="Times New Roman"/>
          <w:bCs/>
          <w:szCs w:val="24"/>
        </w:rPr>
        <w:t xml:space="preserve">reported </w:t>
      </w:r>
      <w:r w:rsidRPr="00A30D36">
        <w:rPr>
          <w:rFonts w:ascii="Times New Roman" w:hAnsi="Times New Roman"/>
          <w:bCs/>
          <w:szCs w:val="24"/>
        </w:rPr>
        <w:t>value of the donation must be net of any goods or services received.</w:t>
      </w:r>
      <w:r w:rsidR="00C36B30" w:rsidRPr="00A30D36">
        <w:rPr>
          <w:rFonts w:ascii="Times New Roman" w:hAnsi="Times New Roman"/>
          <w:bCs/>
          <w:szCs w:val="24"/>
        </w:rPr>
        <w:t xml:space="preserve">  </w:t>
      </w:r>
      <w:r w:rsidR="00C36B30" w:rsidRPr="00A30D36">
        <w:rPr>
          <w:rFonts w:ascii="Times New Roman" w:hAnsi="Times New Roman"/>
          <w:szCs w:val="24"/>
        </w:rPr>
        <w:t>If the organization provided the donor any goods or services in return for the amount received, the Fair Market Value (FMV) of the goods or services provided to the donor, including any items purchased through an auction, must be deducted from the total amount received by the organization.  Example: A donor purchases an item</w:t>
      </w:r>
      <w:r w:rsidR="003D6682" w:rsidRPr="00A30D36">
        <w:rPr>
          <w:rFonts w:ascii="Times New Roman" w:hAnsi="Times New Roman"/>
          <w:szCs w:val="24"/>
        </w:rPr>
        <w:t>,</w:t>
      </w:r>
      <w:r w:rsidR="00C36B30" w:rsidRPr="00A30D36">
        <w:rPr>
          <w:rFonts w:ascii="Times New Roman" w:hAnsi="Times New Roman"/>
          <w:szCs w:val="24"/>
        </w:rPr>
        <w:t xml:space="preserve"> with a FMV of $5,000</w:t>
      </w:r>
      <w:r w:rsidR="003D6682" w:rsidRPr="00A30D36">
        <w:rPr>
          <w:rFonts w:ascii="Times New Roman" w:hAnsi="Times New Roman"/>
          <w:szCs w:val="24"/>
        </w:rPr>
        <w:t>,</w:t>
      </w:r>
      <w:r w:rsidR="00C36B30" w:rsidRPr="00A30D36">
        <w:rPr>
          <w:rFonts w:ascii="Times New Roman" w:hAnsi="Times New Roman"/>
          <w:szCs w:val="24"/>
        </w:rPr>
        <w:t xml:space="preserve"> during a silent auction event for $5,500.  The value of the donation that is eligible for a tax credit is $500.</w:t>
      </w:r>
      <w:r w:rsidR="003D6682" w:rsidRPr="00A30D36">
        <w:rPr>
          <w:rFonts w:ascii="Times New Roman" w:hAnsi="Times New Roman"/>
          <w:szCs w:val="24"/>
        </w:rPr>
        <w:t xml:space="preserve">  The organization must attach documentation that shows the FMV of the item, amount of proceeds received, and the date the auction item was sold and the proceeds were received.</w:t>
      </w:r>
    </w:p>
    <w:p w:rsidR="003702A0" w:rsidRPr="00A30D36" w:rsidRDefault="003702A0" w:rsidP="003702A0">
      <w:pPr>
        <w:spacing w:before="120"/>
        <w:rPr>
          <w:rFonts w:ascii="Times New Roman" w:hAnsi="Times New Roman"/>
          <w:bCs/>
          <w:szCs w:val="24"/>
        </w:rPr>
      </w:pPr>
      <w:r w:rsidRPr="00A30D36">
        <w:rPr>
          <w:rFonts w:ascii="Times New Roman" w:hAnsi="Times New Roman"/>
          <w:bCs/>
          <w:szCs w:val="24"/>
        </w:rPr>
        <w:t>VDOE requirements for monetary and marketable securit</w:t>
      </w:r>
      <w:r w:rsidR="004401B1">
        <w:rPr>
          <w:rFonts w:ascii="Times New Roman" w:hAnsi="Times New Roman"/>
          <w:bCs/>
          <w:szCs w:val="24"/>
        </w:rPr>
        <w:t>ies donations are noted below.</w:t>
      </w:r>
    </w:p>
    <w:p w:rsidR="00813152" w:rsidRPr="00A30D36" w:rsidRDefault="00813152" w:rsidP="00813152">
      <w:pPr>
        <w:pStyle w:val="ListParagraph"/>
        <w:widowControl/>
        <w:numPr>
          <w:ilvl w:val="0"/>
          <w:numId w:val="17"/>
        </w:numPr>
        <w:autoSpaceDE w:val="0"/>
        <w:autoSpaceDN w:val="0"/>
        <w:adjustRightInd w:val="0"/>
        <w:spacing w:before="120"/>
        <w:contextualSpacing w:val="0"/>
        <w:rPr>
          <w:rFonts w:ascii="Times New Roman" w:hAnsi="Times New Roman"/>
          <w:i/>
          <w:szCs w:val="24"/>
        </w:rPr>
      </w:pPr>
      <w:r w:rsidRPr="00A30D36">
        <w:rPr>
          <w:rFonts w:ascii="Times New Roman" w:hAnsi="Times New Roman"/>
          <w:b/>
          <w:i/>
          <w:szCs w:val="24"/>
        </w:rPr>
        <w:t>Monetary:</w:t>
      </w:r>
      <w:r w:rsidRPr="00A30D36">
        <w:rPr>
          <w:rFonts w:ascii="Times New Roman" w:hAnsi="Times New Roman"/>
          <w:szCs w:val="24"/>
        </w:rPr>
        <w:t xml:space="preserve">  A copy of the check(s), charge card transaction(s), or payroll deduction record(s) must be submitted with the TCR-I or TCR-B.  Based on IRS regulations, the date of donation for a check is either the date the donation was hand delivered or the date it was mailed.  However, if a post-dated check is hand delivered or mailed, the date of donation shall be considered the date of the check, not the date of delivery. For credit card transactions and payroll deductions, the date of donation is the date the charge or deduction is made.  For Electronic Funds Transfer, a statement or letter that provides the name of the donor, the donation date, donation amount, and the recipient organization.</w:t>
      </w:r>
    </w:p>
    <w:p w:rsidR="00813152" w:rsidRPr="00A30D36" w:rsidRDefault="00813152" w:rsidP="00813152">
      <w:pPr>
        <w:pStyle w:val="ListParagraph"/>
        <w:widowControl/>
        <w:numPr>
          <w:ilvl w:val="0"/>
          <w:numId w:val="17"/>
        </w:numPr>
        <w:autoSpaceDE w:val="0"/>
        <w:autoSpaceDN w:val="0"/>
        <w:adjustRightInd w:val="0"/>
        <w:spacing w:before="120"/>
        <w:contextualSpacing w:val="0"/>
        <w:rPr>
          <w:rFonts w:ascii="Times New Roman" w:hAnsi="Times New Roman"/>
          <w:i/>
          <w:szCs w:val="24"/>
        </w:rPr>
      </w:pPr>
      <w:r w:rsidRPr="00A30D36">
        <w:rPr>
          <w:rFonts w:ascii="Times New Roman" w:hAnsi="Times New Roman"/>
          <w:b/>
          <w:i/>
          <w:szCs w:val="24"/>
        </w:rPr>
        <w:t>Marketable Securities:</w:t>
      </w:r>
      <w:r w:rsidRPr="00A30D36">
        <w:rPr>
          <w:rFonts w:ascii="Times New Roman" w:hAnsi="Times New Roman"/>
          <w:szCs w:val="24"/>
        </w:rPr>
        <w:t xml:space="preserve"> A letter from the brokerage firm or a copy of a transaction report from the donor’s stock portfolio to show the name of the organization that received the donation, number of units, and the high and low or mean price per share on the transfer date for stocks, or the net asset value per unit on the transfer date for mutual funds.  The value of stock is the fair market value (the number of shares times the average of the high and low prices, or the mean price per share) on the transfer date, and the value of mutual funds is the net asset value per unit at close on the transfer date.  The date of donation is the transfer date (i.e., the date the stock </w:t>
      </w:r>
      <w:r w:rsidR="00135757" w:rsidRPr="00A30D36">
        <w:rPr>
          <w:rFonts w:ascii="Times New Roman" w:hAnsi="Times New Roman"/>
          <w:szCs w:val="24"/>
        </w:rPr>
        <w:t xml:space="preserve">was </w:t>
      </w:r>
      <w:r w:rsidRPr="00A30D36">
        <w:rPr>
          <w:rFonts w:ascii="Times New Roman" w:hAnsi="Times New Roman"/>
          <w:szCs w:val="24"/>
        </w:rPr>
        <w:t>transferred from the donor’s account to the neighborhood organization’s account).</w:t>
      </w:r>
    </w:p>
    <w:p w:rsidR="00FC3E65" w:rsidRPr="00431520" w:rsidRDefault="00FC3E65" w:rsidP="00431520">
      <w:pPr>
        <w:spacing w:before="120" w:after="240"/>
        <w:rPr>
          <w:rFonts w:ascii="Times New Roman" w:hAnsi="Times New Roman"/>
        </w:rPr>
      </w:pPr>
      <w:r w:rsidRPr="00431520">
        <w:rPr>
          <w:rFonts w:ascii="Times New Roman" w:hAnsi="Times New Roman"/>
        </w:rPr>
        <w:t xml:space="preserve">See Section VI for </w:t>
      </w:r>
      <w:r w:rsidR="00084D0C" w:rsidRPr="00431520">
        <w:rPr>
          <w:rFonts w:ascii="Times New Roman" w:hAnsi="Times New Roman"/>
        </w:rPr>
        <w:t>v</w:t>
      </w:r>
      <w:r w:rsidRPr="00431520">
        <w:rPr>
          <w:rFonts w:ascii="Times New Roman" w:hAnsi="Times New Roman"/>
        </w:rPr>
        <w:t xml:space="preserve">alue, </w:t>
      </w:r>
      <w:r w:rsidR="00084D0C" w:rsidRPr="00431520">
        <w:rPr>
          <w:rFonts w:ascii="Times New Roman" w:hAnsi="Times New Roman"/>
        </w:rPr>
        <w:t>d</w:t>
      </w:r>
      <w:r w:rsidRPr="00431520">
        <w:rPr>
          <w:rFonts w:ascii="Times New Roman" w:hAnsi="Times New Roman"/>
        </w:rPr>
        <w:t xml:space="preserve">ate of </w:t>
      </w:r>
      <w:r w:rsidR="00084D0C" w:rsidRPr="00431520">
        <w:rPr>
          <w:rFonts w:ascii="Times New Roman" w:hAnsi="Times New Roman"/>
        </w:rPr>
        <w:t>d</w:t>
      </w:r>
      <w:r w:rsidRPr="00431520">
        <w:rPr>
          <w:rFonts w:ascii="Times New Roman" w:hAnsi="Times New Roman"/>
        </w:rPr>
        <w:t xml:space="preserve">onation, and </w:t>
      </w:r>
      <w:r w:rsidR="00084D0C" w:rsidRPr="00431520">
        <w:rPr>
          <w:rFonts w:ascii="Times New Roman" w:hAnsi="Times New Roman"/>
        </w:rPr>
        <w:t>r</w:t>
      </w:r>
      <w:r w:rsidRPr="00431520">
        <w:rPr>
          <w:rFonts w:ascii="Times New Roman" w:hAnsi="Times New Roman"/>
        </w:rPr>
        <w:t xml:space="preserve">equired </w:t>
      </w:r>
      <w:r w:rsidR="00084D0C" w:rsidRPr="00431520">
        <w:rPr>
          <w:rFonts w:ascii="Times New Roman" w:hAnsi="Times New Roman"/>
        </w:rPr>
        <w:t>d</w:t>
      </w:r>
      <w:r w:rsidRPr="00431520">
        <w:rPr>
          <w:rFonts w:ascii="Times New Roman" w:hAnsi="Times New Roman"/>
        </w:rPr>
        <w:t xml:space="preserve">ocumentation </w:t>
      </w:r>
      <w:r w:rsidR="00084D0C" w:rsidRPr="00431520">
        <w:rPr>
          <w:rFonts w:ascii="Times New Roman" w:hAnsi="Times New Roman"/>
        </w:rPr>
        <w:t xml:space="preserve">for </w:t>
      </w:r>
      <w:r w:rsidR="00084D0C" w:rsidRPr="00431520">
        <w:rPr>
          <w:rFonts w:ascii="Times New Roman" w:hAnsi="Times New Roman"/>
          <w:bCs/>
        </w:rPr>
        <w:t>additional categories for donations by businesses.</w:t>
      </w:r>
    </w:p>
    <w:p w:rsidR="00C36B30" w:rsidRPr="00A30D36" w:rsidRDefault="00FC3E65" w:rsidP="00FC3E65">
      <w:pPr>
        <w:pStyle w:val="NormalCambriablack"/>
        <w:rPr>
          <w:rFonts w:ascii="Times New Roman" w:hAnsi="Times New Roman"/>
          <w:b/>
          <w:u w:val="single"/>
        </w:rPr>
      </w:pPr>
      <w:r w:rsidRPr="00A30D36">
        <w:rPr>
          <w:rFonts w:ascii="Times New Roman" w:hAnsi="Times New Roman"/>
          <w:b/>
          <w:u w:val="single"/>
        </w:rPr>
        <w:t xml:space="preserve">IV. </w:t>
      </w:r>
      <w:r w:rsidR="00C36B30" w:rsidRPr="00A30D36">
        <w:rPr>
          <w:rFonts w:ascii="Times New Roman" w:hAnsi="Times New Roman"/>
          <w:b/>
          <w:u w:val="single"/>
        </w:rPr>
        <w:t>Completing the Tax Credit Request For</w:t>
      </w:r>
      <w:r w:rsidR="004401B1">
        <w:rPr>
          <w:rFonts w:ascii="Times New Roman" w:hAnsi="Times New Roman"/>
          <w:b/>
          <w:u w:val="single"/>
        </w:rPr>
        <w:t>m (TCR-I and TCR-B):</w:t>
      </w:r>
    </w:p>
    <w:p w:rsidR="00C36B30" w:rsidRPr="00A30D36" w:rsidRDefault="00C36B30" w:rsidP="00C36B30">
      <w:pPr>
        <w:pStyle w:val="ListParagraph"/>
        <w:numPr>
          <w:ilvl w:val="0"/>
          <w:numId w:val="22"/>
        </w:numPr>
        <w:spacing w:before="120" w:after="120"/>
        <w:contextualSpacing w:val="0"/>
        <w:rPr>
          <w:rFonts w:ascii="Times New Roman" w:hAnsi="Times New Roman"/>
          <w:szCs w:val="24"/>
        </w:rPr>
      </w:pPr>
      <w:r w:rsidRPr="00A30D36">
        <w:rPr>
          <w:rFonts w:ascii="Times New Roman" w:hAnsi="Times New Roman"/>
          <w:szCs w:val="24"/>
        </w:rPr>
        <w:t xml:space="preserve">Individual donors </w:t>
      </w:r>
      <w:r w:rsidRPr="00A30D36">
        <w:rPr>
          <w:rFonts w:ascii="Times New Roman" w:hAnsi="Times New Roman"/>
          <w:b/>
          <w:szCs w:val="24"/>
          <w:u w:val="single"/>
        </w:rPr>
        <w:t xml:space="preserve">must </w:t>
      </w:r>
      <w:r w:rsidRPr="00A30D36">
        <w:rPr>
          <w:rFonts w:ascii="Times New Roman" w:hAnsi="Times New Roman"/>
          <w:szCs w:val="24"/>
        </w:rPr>
        <w:t>use TCR-I.</w:t>
      </w:r>
      <w:r w:rsidR="00FC3E65" w:rsidRPr="00A30D36">
        <w:rPr>
          <w:rFonts w:ascii="Times New Roman" w:hAnsi="Times New Roman"/>
          <w:szCs w:val="24"/>
        </w:rPr>
        <w:t xml:space="preserve">  (See Section V.)</w:t>
      </w:r>
    </w:p>
    <w:p w:rsidR="00C36B30" w:rsidRPr="00A30D36" w:rsidRDefault="00C36B30" w:rsidP="00C36B30">
      <w:pPr>
        <w:pStyle w:val="ListParagraph"/>
        <w:numPr>
          <w:ilvl w:val="0"/>
          <w:numId w:val="22"/>
        </w:numPr>
        <w:spacing w:before="120" w:after="120"/>
        <w:contextualSpacing w:val="0"/>
        <w:rPr>
          <w:rFonts w:ascii="Times New Roman" w:hAnsi="Times New Roman"/>
          <w:szCs w:val="24"/>
        </w:rPr>
      </w:pPr>
      <w:r w:rsidRPr="00A30D36">
        <w:rPr>
          <w:rFonts w:ascii="Times New Roman" w:hAnsi="Times New Roman"/>
          <w:szCs w:val="24"/>
        </w:rPr>
        <w:t xml:space="preserve">Business donors, including sole-proprietors and trusts, </w:t>
      </w:r>
      <w:r w:rsidRPr="00A30D36">
        <w:rPr>
          <w:rFonts w:ascii="Times New Roman" w:hAnsi="Times New Roman"/>
          <w:b/>
          <w:szCs w:val="24"/>
          <w:u w:val="single"/>
        </w:rPr>
        <w:t>must</w:t>
      </w:r>
      <w:r w:rsidRPr="00A30D36">
        <w:rPr>
          <w:rFonts w:ascii="Times New Roman" w:hAnsi="Times New Roman"/>
          <w:szCs w:val="24"/>
        </w:rPr>
        <w:t xml:space="preserve"> use TCR-B.</w:t>
      </w:r>
      <w:r w:rsidR="00FC3E65" w:rsidRPr="00A30D36">
        <w:rPr>
          <w:rFonts w:ascii="Times New Roman" w:hAnsi="Times New Roman"/>
          <w:szCs w:val="24"/>
        </w:rPr>
        <w:t xml:space="preserve">  (See Section VI.)</w:t>
      </w:r>
    </w:p>
    <w:p w:rsidR="00C36B30" w:rsidRPr="00A30D36" w:rsidRDefault="00C36B30" w:rsidP="00C36B30">
      <w:pPr>
        <w:pStyle w:val="ListParagraph"/>
        <w:numPr>
          <w:ilvl w:val="0"/>
          <w:numId w:val="22"/>
        </w:numPr>
        <w:spacing w:before="120" w:after="120"/>
        <w:contextualSpacing w:val="0"/>
        <w:rPr>
          <w:rFonts w:ascii="Times New Roman" w:hAnsi="Times New Roman"/>
          <w:szCs w:val="24"/>
        </w:rPr>
      </w:pPr>
      <w:r w:rsidRPr="00A30D36">
        <w:rPr>
          <w:rFonts w:ascii="Times New Roman" w:hAnsi="Times New Roman"/>
          <w:szCs w:val="24"/>
        </w:rPr>
        <w:t>To request that tax credits be issued by VDOE, the appropriate TCR Form must be completed and required documentation referenced in the next section must be attached.</w:t>
      </w:r>
    </w:p>
    <w:p w:rsidR="00C36B30" w:rsidRPr="00A30D36" w:rsidRDefault="00C36B30" w:rsidP="00C36B30">
      <w:pPr>
        <w:pStyle w:val="ListParagraph"/>
        <w:numPr>
          <w:ilvl w:val="0"/>
          <w:numId w:val="22"/>
        </w:numPr>
        <w:spacing w:before="120" w:after="120"/>
        <w:contextualSpacing w:val="0"/>
        <w:rPr>
          <w:rFonts w:ascii="Times New Roman" w:hAnsi="Times New Roman"/>
          <w:szCs w:val="24"/>
        </w:rPr>
      </w:pPr>
      <w:r w:rsidRPr="00A30D36">
        <w:rPr>
          <w:rFonts w:ascii="Times New Roman" w:hAnsi="Times New Roman"/>
          <w:szCs w:val="24"/>
        </w:rPr>
        <w:lastRenderedPageBreak/>
        <w:t>Multiple donations that equal or exceed the minimum donation amount may be included on the same TCR Form, provided they are within the same taxable year.  After a donor meets or exceeds the required minimum donation amount, the donor can submit a new TCR Form and receive additional tax credits for donations that are less than the minimum donation amount, provided that all donations are made to the same neighborhood organization and are made within the same taxable year.</w:t>
      </w:r>
    </w:p>
    <w:p w:rsidR="00C36B30" w:rsidRPr="00A30D36" w:rsidRDefault="00C36B30" w:rsidP="00C36B30">
      <w:pPr>
        <w:pStyle w:val="ListParagraph"/>
        <w:numPr>
          <w:ilvl w:val="0"/>
          <w:numId w:val="22"/>
        </w:numPr>
        <w:spacing w:before="120" w:after="120"/>
        <w:contextualSpacing w:val="0"/>
        <w:rPr>
          <w:rFonts w:ascii="Times New Roman" w:hAnsi="Times New Roman"/>
          <w:szCs w:val="24"/>
        </w:rPr>
      </w:pPr>
      <w:r w:rsidRPr="00A30D36">
        <w:rPr>
          <w:rFonts w:ascii="Times New Roman" w:hAnsi="Times New Roman"/>
          <w:szCs w:val="24"/>
        </w:rPr>
        <w:t>The donor must sign and date the appropriate TCR Form, attach required documentation, and send it to the approved NAP nonprofit organization.</w:t>
      </w:r>
    </w:p>
    <w:p w:rsidR="00C36B30" w:rsidRPr="00A30D36" w:rsidRDefault="00C36B30" w:rsidP="00C36B30">
      <w:pPr>
        <w:pStyle w:val="ListParagraph"/>
        <w:numPr>
          <w:ilvl w:val="0"/>
          <w:numId w:val="22"/>
        </w:numPr>
        <w:spacing w:before="120" w:after="120"/>
        <w:contextualSpacing w:val="0"/>
        <w:rPr>
          <w:rFonts w:ascii="Times New Roman" w:hAnsi="Times New Roman"/>
          <w:szCs w:val="24"/>
        </w:rPr>
      </w:pPr>
      <w:r w:rsidRPr="00A30D36">
        <w:rPr>
          <w:rFonts w:ascii="Times New Roman" w:hAnsi="Times New Roman"/>
          <w:szCs w:val="24"/>
        </w:rPr>
        <w:t xml:space="preserve">The NAP organization must review the form for accuracy, complete and sign the Certification by NAP Organization section, and mail the original TCR Form and supporting documentation to </w:t>
      </w:r>
      <w:r w:rsidR="003133FE" w:rsidRPr="00A30D36">
        <w:rPr>
          <w:rFonts w:ascii="Times New Roman" w:hAnsi="Times New Roman"/>
          <w:szCs w:val="24"/>
        </w:rPr>
        <w:t>VDOE</w:t>
      </w:r>
      <w:r w:rsidRPr="00A30D36">
        <w:rPr>
          <w:rFonts w:ascii="Times New Roman" w:hAnsi="Times New Roman"/>
          <w:szCs w:val="24"/>
        </w:rPr>
        <w:t xml:space="preserve"> for processing.</w:t>
      </w:r>
    </w:p>
    <w:p w:rsidR="00C36B30" w:rsidRPr="00A30D36" w:rsidRDefault="00C36B30" w:rsidP="00C36B30">
      <w:pPr>
        <w:pStyle w:val="ListParagraph"/>
        <w:numPr>
          <w:ilvl w:val="0"/>
          <w:numId w:val="22"/>
        </w:numPr>
        <w:spacing w:before="120" w:after="120"/>
        <w:contextualSpacing w:val="0"/>
        <w:rPr>
          <w:rFonts w:ascii="Times New Roman" w:hAnsi="Times New Roman"/>
          <w:szCs w:val="24"/>
        </w:rPr>
      </w:pPr>
      <w:r w:rsidRPr="00A30D36">
        <w:rPr>
          <w:rFonts w:ascii="Times New Roman" w:hAnsi="Times New Roman"/>
          <w:szCs w:val="24"/>
        </w:rPr>
        <w:t xml:space="preserve">A Tax Credit Certificate will be mailed directly to </w:t>
      </w:r>
      <w:r w:rsidR="004401B1">
        <w:rPr>
          <w:rFonts w:ascii="Times New Roman" w:hAnsi="Times New Roman"/>
          <w:szCs w:val="24"/>
        </w:rPr>
        <w:t>the donor in a window envelope.</w:t>
      </w:r>
    </w:p>
    <w:p w:rsidR="00813152" w:rsidRPr="004401B1" w:rsidRDefault="00FC3E65" w:rsidP="00813152">
      <w:pPr>
        <w:pStyle w:val="Heading2"/>
        <w:spacing w:before="240"/>
        <w:rPr>
          <w:rFonts w:ascii="Times New Roman" w:hAnsi="Times New Roman" w:cs="Times New Roman"/>
          <w:b/>
          <w:color w:val="auto"/>
          <w:sz w:val="24"/>
          <w:szCs w:val="24"/>
          <w:u w:val="single"/>
        </w:rPr>
      </w:pPr>
      <w:r w:rsidRPr="00A30D36">
        <w:rPr>
          <w:rFonts w:ascii="Times New Roman" w:hAnsi="Times New Roman" w:cs="Times New Roman"/>
          <w:b/>
          <w:color w:val="auto"/>
          <w:sz w:val="24"/>
          <w:szCs w:val="24"/>
          <w:u w:val="single"/>
        </w:rPr>
        <w:t xml:space="preserve">V. </w:t>
      </w:r>
      <w:r w:rsidR="00813152" w:rsidRPr="00A30D36">
        <w:rPr>
          <w:rFonts w:ascii="Times New Roman" w:hAnsi="Times New Roman" w:cs="Times New Roman"/>
          <w:b/>
          <w:color w:val="auto"/>
          <w:sz w:val="24"/>
          <w:szCs w:val="24"/>
          <w:u w:val="single"/>
        </w:rPr>
        <w:t>Instructions Specific to Individual Donors:</w:t>
      </w:r>
    </w:p>
    <w:p w:rsidR="00813152" w:rsidRPr="00A30D36" w:rsidRDefault="00813152" w:rsidP="00813152">
      <w:pPr>
        <w:numPr>
          <w:ilvl w:val="0"/>
          <w:numId w:val="1"/>
        </w:numPr>
        <w:spacing w:before="120"/>
        <w:rPr>
          <w:rFonts w:ascii="Times New Roman" w:hAnsi="Times New Roman"/>
          <w:bCs/>
          <w:szCs w:val="24"/>
        </w:rPr>
      </w:pPr>
      <w:r w:rsidRPr="00A30D36">
        <w:rPr>
          <w:rFonts w:ascii="Times New Roman" w:hAnsi="Times New Roman"/>
          <w:bCs/>
          <w:szCs w:val="24"/>
        </w:rPr>
        <w:t xml:space="preserve">Individual Donors </w:t>
      </w:r>
      <w:r w:rsidRPr="00A30D36">
        <w:rPr>
          <w:rFonts w:ascii="Times New Roman" w:hAnsi="Times New Roman"/>
          <w:bCs/>
          <w:szCs w:val="24"/>
          <w:u w:val="single"/>
        </w:rPr>
        <w:t>must</w:t>
      </w:r>
      <w:r w:rsidRPr="00A30D36">
        <w:rPr>
          <w:rFonts w:ascii="Times New Roman" w:hAnsi="Times New Roman"/>
          <w:bCs/>
          <w:szCs w:val="24"/>
        </w:rPr>
        <w:t xml:space="preserve"> use </w:t>
      </w:r>
      <w:r w:rsidRPr="00A30D36">
        <w:rPr>
          <w:rFonts w:ascii="Times New Roman" w:hAnsi="Times New Roman"/>
          <w:b/>
          <w:bCs/>
          <w:szCs w:val="24"/>
        </w:rPr>
        <w:t>TCR-I.</w:t>
      </w:r>
    </w:p>
    <w:p w:rsidR="00813152" w:rsidRPr="00A30D36" w:rsidRDefault="00813152" w:rsidP="00813152">
      <w:pPr>
        <w:numPr>
          <w:ilvl w:val="0"/>
          <w:numId w:val="1"/>
        </w:numPr>
        <w:spacing w:before="120"/>
        <w:rPr>
          <w:rFonts w:ascii="Times New Roman" w:hAnsi="Times New Roman"/>
          <w:bCs/>
          <w:szCs w:val="24"/>
        </w:rPr>
      </w:pPr>
      <w:r w:rsidRPr="00A30D36">
        <w:rPr>
          <w:rFonts w:ascii="Times New Roman" w:hAnsi="Times New Roman"/>
          <w:szCs w:val="24"/>
        </w:rPr>
        <w:t>NAP tax credits are available to individuals for monetary or marketable securities donations of only.</w:t>
      </w:r>
    </w:p>
    <w:p w:rsidR="00813152" w:rsidRPr="00A30D36" w:rsidRDefault="00813152" w:rsidP="00813152">
      <w:pPr>
        <w:pStyle w:val="ListParagraph"/>
        <w:numPr>
          <w:ilvl w:val="0"/>
          <w:numId w:val="5"/>
        </w:numPr>
        <w:spacing w:before="120" w:after="60"/>
        <w:rPr>
          <w:rFonts w:ascii="Times New Roman" w:hAnsi="Times New Roman"/>
          <w:szCs w:val="24"/>
        </w:rPr>
      </w:pPr>
      <w:r w:rsidRPr="00A30D36">
        <w:rPr>
          <w:rFonts w:ascii="Times New Roman" w:hAnsi="Times New Roman"/>
          <w:szCs w:val="24"/>
        </w:rPr>
        <w:t>The following types individual donations may qualify</w:t>
      </w:r>
      <w:r w:rsidR="004401B1">
        <w:rPr>
          <w:rFonts w:ascii="Times New Roman" w:hAnsi="Times New Roman"/>
          <w:szCs w:val="24"/>
        </w:rPr>
        <w:t xml:space="preserve"> for NAP education tax credits:</w:t>
      </w:r>
    </w:p>
    <w:p w:rsidR="00813152" w:rsidRPr="00A30D36" w:rsidRDefault="00813152" w:rsidP="00813152">
      <w:pPr>
        <w:rPr>
          <w:rFonts w:ascii="Times New Roman" w:hAnsi="Times New Roman"/>
          <w:szCs w:val="24"/>
        </w:rPr>
        <w:sectPr w:rsidR="00813152" w:rsidRPr="00A30D36" w:rsidSect="00813152">
          <w:footerReference w:type="default" r:id="rId8"/>
          <w:type w:val="continuous"/>
          <w:pgSz w:w="12240" w:h="15840"/>
          <w:pgMar w:top="900" w:right="1440" w:bottom="1440" w:left="1440" w:header="720" w:footer="720" w:gutter="0"/>
          <w:cols w:space="720"/>
          <w:docGrid w:linePitch="360"/>
        </w:sectPr>
      </w:pPr>
    </w:p>
    <w:p w:rsidR="00813152" w:rsidRPr="00A30D36" w:rsidRDefault="00813152" w:rsidP="00813152">
      <w:pPr>
        <w:pStyle w:val="ListParagraph"/>
        <w:numPr>
          <w:ilvl w:val="0"/>
          <w:numId w:val="13"/>
        </w:numPr>
        <w:rPr>
          <w:rFonts w:ascii="Times New Roman" w:hAnsi="Times New Roman"/>
          <w:szCs w:val="24"/>
        </w:rPr>
      </w:pPr>
      <w:r w:rsidRPr="00A30D36">
        <w:rPr>
          <w:rFonts w:ascii="Times New Roman" w:hAnsi="Times New Roman"/>
          <w:szCs w:val="24"/>
        </w:rPr>
        <w:t>Check (</w:t>
      </w:r>
      <w:r w:rsidR="00D15D36" w:rsidRPr="00A30D36">
        <w:rPr>
          <w:rFonts w:ascii="Times New Roman" w:hAnsi="Times New Roman"/>
          <w:szCs w:val="24"/>
        </w:rPr>
        <w:t>including</w:t>
      </w:r>
      <w:r w:rsidRPr="00A30D36">
        <w:rPr>
          <w:rFonts w:ascii="Times New Roman" w:hAnsi="Times New Roman"/>
          <w:szCs w:val="24"/>
        </w:rPr>
        <w:t xml:space="preserve"> Money Order)</w:t>
      </w:r>
    </w:p>
    <w:p w:rsidR="00813152" w:rsidRPr="00A30D36" w:rsidRDefault="00813152" w:rsidP="00813152">
      <w:pPr>
        <w:pStyle w:val="ListParagraph"/>
        <w:numPr>
          <w:ilvl w:val="0"/>
          <w:numId w:val="13"/>
        </w:numPr>
        <w:rPr>
          <w:rFonts w:ascii="Times New Roman" w:hAnsi="Times New Roman"/>
          <w:szCs w:val="24"/>
        </w:rPr>
      </w:pPr>
      <w:r w:rsidRPr="00A30D36">
        <w:rPr>
          <w:rFonts w:ascii="Times New Roman" w:hAnsi="Times New Roman"/>
          <w:szCs w:val="24"/>
        </w:rPr>
        <w:t>Credit Card</w:t>
      </w:r>
    </w:p>
    <w:p w:rsidR="00813152" w:rsidRPr="00A30D36" w:rsidRDefault="00813152" w:rsidP="00813152">
      <w:pPr>
        <w:pStyle w:val="ListParagraph"/>
        <w:numPr>
          <w:ilvl w:val="0"/>
          <w:numId w:val="13"/>
        </w:numPr>
        <w:spacing w:after="120"/>
        <w:contextualSpacing w:val="0"/>
        <w:rPr>
          <w:rFonts w:ascii="Times New Roman" w:hAnsi="Times New Roman"/>
          <w:szCs w:val="24"/>
        </w:rPr>
      </w:pPr>
      <w:r w:rsidRPr="00A30D36">
        <w:rPr>
          <w:rFonts w:ascii="Times New Roman" w:hAnsi="Times New Roman"/>
          <w:szCs w:val="24"/>
        </w:rPr>
        <w:t>Electronic Funds Transfer</w:t>
      </w:r>
    </w:p>
    <w:p w:rsidR="00813152" w:rsidRPr="00A30D36" w:rsidRDefault="00813152" w:rsidP="00813152">
      <w:pPr>
        <w:pStyle w:val="ListParagraph"/>
        <w:numPr>
          <w:ilvl w:val="0"/>
          <w:numId w:val="13"/>
        </w:numPr>
        <w:rPr>
          <w:rFonts w:ascii="Times New Roman" w:hAnsi="Times New Roman"/>
          <w:szCs w:val="24"/>
        </w:rPr>
      </w:pPr>
      <w:r w:rsidRPr="00A30D36">
        <w:rPr>
          <w:rFonts w:ascii="Times New Roman" w:hAnsi="Times New Roman"/>
          <w:szCs w:val="24"/>
        </w:rPr>
        <w:t>Marketable Securities</w:t>
      </w:r>
    </w:p>
    <w:p w:rsidR="00813152" w:rsidRPr="00A30D36" w:rsidRDefault="00813152" w:rsidP="00813152">
      <w:pPr>
        <w:pStyle w:val="ListParagraph"/>
        <w:numPr>
          <w:ilvl w:val="0"/>
          <w:numId w:val="13"/>
        </w:numPr>
        <w:rPr>
          <w:rFonts w:ascii="Times New Roman" w:hAnsi="Times New Roman"/>
          <w:szCs w:val="24"/>
        </w:rPr>
        <w:sectPr w:rsidR="00813152" w:rsidRPr="00A30D36" w:rsidSect="0060379B">
          <w:type w:val="continuous"/>
          <w:pgSz w:w="12240" w:h="15840"/>
          <w:pgMar w:top="900" w:right="1440" w:bottom="1440" w:left="2160" w:header="720" w:footer="720" w:gutter="0"/>
          <w:cols w:num="2" w:space="720"/>
          <w:docGrid w:linePitch="360"/>
        </w:sectPr>
      </w:pPr>
      <w:r w:rsidRPr="00A30D36">
        <w:rPr>
          <w:rFonts w:ascii="Times New Roman" w:hAnsi="Times New Roman"/>
          <w:szCs w:val="24"/>
        </w:rPr>
        <w:t>Payroll Deduction</w:t>
      </w:r>
    </w:p>
    <w:p w:rsidR="00813152" w:rsidRPr="00A30D36" w:rsidRDefault="00813152" w:rsidP="00813152">
      <w:pPr>
        <w:pStyle w:val="ListParagraph"/>
        <w:numPr>
          <w:ilvl w:val="0"/>
          <w:numId w:val="13"/>
        </w:numPr>
        <w:spacing w:before="120"/>
        <w:rPr>
          <w:rFonts w:ascii="Times New Roman" w:hAnsi="Times New Roman"/>
          <w:szCs w:val="24"/>
        </w:rPr>
      </w:pPr>
      <w:r w:rsidRPr="00A30D36">
        <w:rPr>
          <w:rFonts w:ascii="Times New Roman" w:hAnsi="Times New Roman"/>
          <w:szCs w:val="24"/>
        </w:rPr>
        <w:t>A minimum aggregate donation of $500 is required for individuals to be eligible for tax credits.</w:t>
      </w:r>
    </w:p>
    <w:p w:rsidR="00813152" w:rsidRPr="00A30D36" w:rsidRDefault="00813152" w:rsidP="00813152">
      <w:pPr>
        <w:pStyle w:val="NormalCambriablack"/>
        <w:numPr>
          <w:ilvl w:val="0"/>
          <w:numId w:val="1"/>
        </w:numPr>
        <w:spacing w:before="120" w:after="120"/>
        <w:rPr>
          <w:rFonts w:ascii="Times New Roman" w:hAnsi="Times New Roman"/>
        </w:rPr>
      </w:pPr>
      <w:r w:rsidRPr="00A30D36">
        <w:rPr>
          <w:rFonts w:ascii="Times New Roman" w:hAnsi="Times New Roman"/>
          <w:bCs/>
        </w:rPr>
        <w:t xml:space="preserve">NAP credits are also issued by the Department of Social Services (DSS).  </w:t>
      </w:r>
      <w:r w:rsidRPr="00A30D36">
        <w:rPr>
          <w:rFonts w:ascii="Times New Roman" w:hAnsi="Times New Roman"/>
        </w:rPr>
        <w:t>For donations made on and after January 1, 2013, the maximum aggregate amount of tax credits that may be issued to an individual in a taxable year is $81,250, which equates to a maximum aggregate amount of donations of $125,000 in a taxable year, if all tax credits are allocated in a program year.  The maximum aggregate amount of donations is only applied on an individual basis, and no longer pertains to married couples.  An individual who requests NAP credits must indicate if he or she has received or requested any other NAP credits in the same taxable year.</w:t>
      </w:r>
    </w:p>
    <w:p w:rsidR="00813152" w:rsidRPr="00A30D36" w:rsidRDefault="00813152" w:rsidP="00813152">
      <w:pPr>
        <w:pStyle w:val="Default"/>
        <w:numPr>
          <w:ilvl w:val="0"/>
          <w:numId w:val="1"/>
        </w:numPr>
        <w:spacing w:before="120" w:after="120"/>
      </w:pPr>
      <w:r w:rsidRPr="00A30D36">
        <w:t>Multiple donations less than $500 that in total equal or exceed $500 within the same taxable year may be reported on one TCR Form. A donor can receive additional tax credits for donations that are less than $500, only if the donor has already made donations equaling $500 in the same taxable year to the same neighborhood organization.</w:t>
      </w:r>
    </w:p>
    <w:p w:rsidR="00813152" w:rsidRPr="00A30D36" w:rsidRDefault="00FC3E65" w:rsidP="00813152">
      <w:pPr>
        <w:pStyle w:val="Heading2"/>
        <w:spacing w:before="240"/>
        <w:rPr>
          <w:rFonts w:ascii="Times New Roman" w:hAnsi="Times New Roman" w:cs="Times New Roman"/>
          <w:b/>
          <w:sz w:val="24"/>
          <w:szCs w:val="24"/>
          <w:u w:val="single"/>
        </w:rPr>
      </w:pPr>
      <w:r w:rsidRPr="00A30D36">
        <w:rPr>
          <w:rFonts w:ascii="Times New Roman" w:hAnsi="Times New Roman" w:cs="Times New Roman"/>
          <w:b/>
          <w:color w:val="auto"/>
          <w:sz w:val="24"/>
          <w:szCs w:val="24"/>
          <w:u w:val="single"/>
        </w:rPr>
        <w:t xml:space="preserve">VI. </w:t>
      </w:r>
      <w:r w:rsidR="00813152" w:rsidRPr="00A30D36">
        <w:rPr>
          <w:rFonts w:ascii="Times New Roman" w:hAnsi="Times New Roman" w:cs="Times New Roman"/>
          <w:b/>
          <w:color w:val="auto"/>
          <w:sz w:val="24"/>
          <w:szCs w:val="24"/>
          <w:u w:val="single"/>
        </w:rPr>
        <w:t>Instructions Specific to Business Donors:</w:t>
      </w:r>
    </w:p>
    <w:p w:rsidR="00813152" w:rsidRPr="00A30D36" w:rsidRDefault="00813152" w:rsidP="00813152">
      <w:pPr>
        <w:pStyle w:val="ListParagraph"/>
        <w:numPr>
          <w:ilvl w:val="0"/>
          <w:numId w:val="5"/>
        </w:numPr>
        <w:spacing w:before="120" w:after="120"/>
        <w:contextualSpacing w:val="0"/>
        <w:rPr>
          <w:rFonts w:ascii="Times New Roman" w:hAnsi="Times New Roman"/>
          <w:szCs w:val="24"/>
        </w:rPr>
      </w:pPr>
      <w:r w:rsidRPr="00A30D36">
        <w:rPr>
          <w:rFonts w:ascii="Times New Roman" w:hAnsi="Times New Roman"/>
          <w:szCs w:val="24"/>
        </w:rPr>
        <w:t xml:space="preserve">Business Donors </w:t>
      </w:r>
      <w:r w:rsidRPr="00A30D36">
        <w:rPr>
          <w:rFonts w:ascii="Times New Roman" w:hAnsi="Times New Roman"/>
          <w:szCs w:val="24"/>
          <w:u w:val="single"/>
        </w:rPr>
        <w:t>must</w:t>
      </w:r>
      <w:r w:rsidRPr="00A30D36">
        <w:rPr>
          <w:rFonts w:ascii="Times New Roman" w:hAnsi="Times New Roman"/>
          <w:szCs w:val="24"/>
        </w:rPr>
        <w:t xml:space="preserve"> use </w:t>
      </w:r>
      <w:r w:rsidRPr="00A30D36">
        <w:rPr>
          <w:rFonts w:ascii="Times New Roman" w:hAnsi="Times New Roman"/>
          <w:b/>
          <w:szCs w:val="24"/>
        </w:rPr>
        <w:t>TCR-B</w:t>
      </w:r>
      <w:r w:rsidRPr="00A30D36">
        <w:rPr>
          <w:rFonts w:ascii="Times New Roman" w:hAnsi="Times New Roman"/>
          <w:szCs w:val="24"/>
        </w:rPr>
        <w:t>.</w:t>
      </w:r>
    </w:p>
    <w:p w:rsidR="00813152" w:rsidRPr="00A30D36" w:rsidRDefault="00813152" w:rsidP="00813152">
      <w:pPr>
        <w:pStyle w:val="ListParagraph"/>
        <w:numPr>
          <w:ilvl w:val="0"/>
          <w:numId w:val="5"/>
        </w:numPr>
        <w:spacing w:before="120" w:after="120"/>
        <w:contextualSpacing w:val="0"/>
        <w:rPr>
          <w:rFonts w:ascii="Times New Roman" w:hAnsi="Times New Roman"/>
          <w:szCs w:val="24"/>
        </w:rPr>
      </w:pPr>
      <w:r w:rsidRPr="00A30D36">
        <w:rPr>
          <w:rFonts w:ascii="Times New Roman" w:hAnsi="Times New Roman"/>
          <w:szCs w:val="24"/>
        </w:rPr>
        <w:t>State tax credits may be available to any business entity authorized to do business in the Commonwealth of Virginia.</w:t>
      </w:r>
    </w:p>
    <w:p w:rsidR="00CF5B1E" w:rsidRPr="00A30D36" w:rsidRDefault="00CF5B1E" w:rsidP="00CF5B1E">
      <w:pPr>
        <w:numPr>
          <w:ilvl w:val="0"/>
          <w:numId w:val="5"/>
        </w:numPr>
        <w:spacing w:before="120" w:after="120"/>
        <w:rPr>
          <w:rFonts w:ascii="Times New Roman" w:hAnsi="Times New Roman"/>
          <w:szCs w:val="24"/>
        </w:rPr>
      </w:pPr>
      <w:r w:rsidRPr="00A30D36">
        <w:rPr>
          <w:rFonts w:ascii="Times New Roman" w:hAnsi="Times New Roman"/>
          <w:szCs w:val="24"/>
        </w:rPr>
        <w:t>Donations to an approved neighborhood</w:t>
      </w:r>
      <w:r w:rsidRPr="00A30D36">
        <w:rPr>
          <w:rFonts w:ascii="Times New Roman" w:hAnsi="Times New Roman"/>
          <w:bCs/>
          <w:szCs w:val="24"/>
        </w:rPr>
        <w:t xml:space="preserve"> organization </w:t>
      </w:r>
      <w:r w:rsidRPr="00A30D36">
        <w:rPr>
          <w:rFonts w:ascii="Times New Roman" w:hAnsi="Times New Roman"/>
          <w:szCs w:val="24"/>
        </w:rPr>
        <w:t>providing job training or education for individuals employed by the business firm do not qualify for NAP tax credits.</w:t>
      </w:r>
    </w:p>
    <w:p w:rsidR="00CF5B1E" w:rsidRPr="00A30D36" w:rsidRDefault="00CF5B1E" w:rsidP="00CF5B1E">
      <w:pPr>
        <w:pStyle w:val="Default"/>
        <w:numPr>
          <w:ilvl w:val="0"/>
          <w:numId w:val="5"/>
        </w:numPr>
        <w:spacing w:before="120" w:after="120"/>
      </w:pPr>
      <w:r w:rsidRPr="00A30D36">
        <w:lastRenderedPageBreak/>
        <w:t>NAP tax credits may be available to a business making donations with a value of at least $616 in a taxable year.</w:t>
      </w:r>
    </w:p>
    <w:p w:rsidR="00CF5B1E" w:rsidRPr="00A30D36" w:rsidRDefault="00CF5B1E" w:rsidP="00CF5B1E">
      <w:pPr>
        <w:pStyle w:val="Default"/>
        <w:numPr>
          <w:ilvl w:val="0"/>
          <w:numId w:val="5"/>
        </w:numPr>
        <w:spacing w:before="120" w:after="120"/>
      </w:pPr>
      <w:r w:rsidRPr="00A30D36">
        <w:t>Multiple donations within the same taxable year that equal or exceed $616 may be reported on one TCR Form.  A donor may receive additional tax credits for donations that are less than $616, only if the donor has already made a donation equaling $616 in the same taxable year to the same neighborhood organization.</w:t>
      </w:r>
    </w:p>
    <w:p w:rsidR="00813152" w:rsidRPr="00A30D36" w:rsidRDefault="00813152" w:rsidP="00813152">
      <w:pPr>
        <w:pStyle w:val="ListParagraph"/>
        <w:numPr>
          <w:ilvl w:val="0"/>
          <w:numId w:val="5"/>
        </w:numPr>
        <w:spacing w:before="120" w:after="120"/>
        <w:contextualSpacing w:val="0"/>
        <w:rPr>
          <w:rFonts w:ascii="Times New Roman" w:hAnsi="Times New Roman"/>
          <w:szCs w:val="24"/>
        </w:rPr>
      </w:pPr>
      <w:r w:rsidRPr="00A30D36">
        <w:rPr>
          <w:rFonts w:ascii="Times New Roman" w:hAnsi="Times New Roman"/>
          <w:szCs w:val="24"/>
        </w:rPr>
        <w:t>The following types business donations may qualify for NAP education tax credits:</w:t>
      </w:r>
    </w:p>
    <w:p w:rsidR="00813152" w:rsidRPr="00A30D36" w:rsidRDefault="00813152" w:rsidP="00813152">
      <w:pPr>
        <w:pStyle w:val="ListParagraph"/>
        <w:spacing w:before="120" w:after="120"/>
        <w:contextualSpacing w:val="0"/>
        <w:rPr>
          <w:rFonts w:ascii="Times New Roman" w:hAnsi="Times New Roman"/>
          <w:szCs w:val="24"/>
        </w:rPr>
        <w:sectPr w:rsidR="00813152" w:rsidRPr="00A30D36" w:rsidSect="0060379B">
          <w:type w:val="continuous"/>
          <w:pgSz w:w="12240" w:h="15840"/>
          <w:pgMar w:top="900" w:right="1440" w:bottom="1440" w:left="1440" w:header="720" w:footer="720" w:gutter="0"/>
          <w:cols w:space="720"/>
          <w:docGrid w:linePitch="360"/>
        </w:sectPr>
      </w:pPr>
    </w:p>
    <w:p w:rsidR="00813152" w:rsidRPr="00A30D36" w:rsidRDefault="001F7391" w:rsidP="00813152">
      <w:pPr>
        <w:pStyle w:val="ListParagraph"/>
        <w:numPr>
          <w:ilvl w:val="0"/>
          <w:numId w:val="14"/>
        </w:numPr>
        <w:spacing w:before="60" w:after="60"/>
        <w:contextualSpacing w:val="0"/>
        <w:rPr>
          <w:rFonts w:ascii="Times New Roman" w:hAnsi="Times New Roman"/>
          <w:szCs w:val="24"/>
        </w:rPr>
      </w:pPr>
      <w:r>
        <w:rPr>
          <w:rFonts w:ascii="Times New Roman" w:hAnsi="Times New Roman"/>
          <w:szCs w:val="24"/>
        </w:rPr>
        <w:t>check (</w:t>
      </w:r>
      <w:r w:rsidR="00813152" w:rsidRPr="00A30D36">
        <w:rPr>
          <w:rFonts w:ascii="Times New Roman" w:hAnsi="Times New Roman"/>
          <w:szCs w:val="24"/>
        </w:rPr>
        <w:t>or money order)</w:t>
      </w:r>
    </w:p>
    <w:p w:rsidR="00813152" w:rsidRPr="00A30D36" w:rsidRDefault="00813152" w:rsidP="00813152">
      <w:pPr>
        <w:pStyle w:val="ListParagraph"/>
        <w:numPr>
          <w:ilvl w:val="0"/>
          <w:numId w:val="14"/>
        </w:numPr>
        <w:spacing w:before="60" w:after="60"/>
        <w:contextualSpacing w:val="0"/>
        <w:rPr>
          <w:rFonts w:ascii="Times New Roman" w:hAnsi="Times New Roman"/>
          <w:szCs w:val="24"/>
        </w:rPr>
      </w:pPr>
      <w:r w:rsidRPr="00A30D36">
        <w:rPr>
          <w:rFonts w:ascii="Times New Roman" w:hAnsi="Times New Roman"/>
          <w:szCs w:val="24"/>
        </w:rPr>
        <w:t>credit card</w:t>
      </w:r>
    </w:p>
    <w:p w:rsidR="00813152" w:rsidRPr="00A30D36" w:rsidRDefault="00813152" w:rsidP="00813152">
      <w:pPr>
        <w:pStyle w:val="ListParagraph"/>
        <w:numPr>
          <w:ilvl w:val="0"/>
          <w:numId w:val="14"/>
        </w:numPr>
        <w:spacing w:before="60" w:after="60"/>
        <w:contextualSpacing w:val="0"/>
        <w:rPr>
          <w:rFonts w:ascii="Times New Roman" w:hAnsi="Times New Roman"/>
          <w:szCs w:val="24"/>
        </w:rPr>
      </w:pPr>
      <w:r w:rsidRPr="00A30D36">
        <w:rPr>
          <w:rFonts w:ascii="Times New Roman" w:hAnsi="Times New Roman"/>
          <w:szCs w:val="24"/>
        </w:rPr>
        <w:t>electronic funds transfer</w:t>
      </w:r>
    </w:p>
    <w:p w:rsidR="00813152" w:rsidRPr="00A30D36" w:rsidRDefault="00813152" w:rsidP="00813152">
      <w:pPr>
        <w:pStyle w:val="ListParagraph"/>
        <w:numPr>
          <w:ilvl w:val="0"/>
          <w:numId w:val="14"/>
        </w:numPr>
        <w:spacing w:before="60" w:after="60"/>
        <w:contextualSpacing w:val="0"/>
        <w:rPr>
          <w:rFonts w:ascii="Times New Roman" w:hAnsi="Times New Roman"/>
          <w:szCs w:val="24"/>
        </w:rPr>
      </w:pPr>
      <w:r w:rsidRPr="00A30D36">
        <w:rPr>
          <w:rFonts w:ascii="Times New Roman" w:hAnsi="Times New Roman"/>
          <w:szCs w:val="24"/>
        </w:rPr>
        <w:t>marketable securities</w:t>
      </w:r>
    </w:p>
    <w:p w:rsidR="00813152" w:rsidRPr="00A30D36" w:rsidRDefault="00813152" w:rsidP="00813152">
      <w:pPr>
        <w:pStyle w:val="ListParagraph"/>
        <w:numPr>
          <w:ilvl w:val="0"/>
          <w:numId w:val="14"/>
        </w:numPr>
        <w:spacing w:before="60" w:after="60"/>
        <w:contextualSpacing w:val="0"/>
        <w:rPr>
          <w:rFonts w:ascii="Times New Roman" w:hAnsi="Times New Roman"/>
          <w:szCs w:val="24"/>
        </w:rPr>
      </w:pPr>
      <w:r w:rsidRPr="00A30D36">
        <w:rPr>
          <w:rFonts w:ascii="Times New Roman" w:hAnsi="Times New Roman"/>
          <w:szCs w:val="24"/>
        </w:rPr>
        <w:t>rent/lease of facility</w:t>
      </w:r>
    </w:p>
    <w:p w:rsidR="00813152" w:rsidRPr="00A30D36" w:rsidRDefault="00813152" w:rsidP="00813152">
      <w:pPr>
        <w:pStyle w:val="ListParagraph"/>
        <w:numPr>
          <w:ilvl w:val="0"/>
          <w:numId w:val="14"/>
        </w:numPr>
        <w:spacing w:before="60" w:after="60"/>
        <w:contextualSpacing w:val="0"/>
        <w:rPr>
          <w:rFonts w:ascii="Times New Roman" w:hAnsi="Times New Roman"/>
          <w:szCs w:val="24"/>
        </w:rPr>
      </w:pPr>
      <w:r w:rsidRPr="00A30D36">
        <w:rPr>
          <w:rFonts w:ascii="Times New Roman" w:hAnsi="Times New Roman"/>
          <w:szCs w:val="24"/>
        </w:rPr>
        <w:t>motor vehicle</w:t>
      </w:r>
    </w:p>
    <w:p w:rsidR="00813152" w:rsidRPr="00A30D36" w:rsidRDefault="00813152" w:rsidP="00813152">
      <w:pPr>
        <w:pStyle w:val="ListParagraph"/>
        <w:numPr>
          <w:ilvl w:val="0"/>
          <w:numId w:val="14"/>
        </w:numPr>
        <w:spacing w:before="60" w:after="60"/>
        <w:ind w:left="360"/>
        <w:contextualSpacing w:val="0"/>
        <w:rPr>
          <w:rFonts w:ascii="Times New Roman" w:hAnsi="Times New Roman"/>
          <w:szCs w:val="24"/>
        </w:rPr>
      </w:pPr>
      <w:r w:rsidRPr="00A30D36">
        <w:rPr>
          <w:rFonts w:ascii="Times New Roman" w:hAnsi="Times New Roman"/>
          <w:szCs w:val="24"/>
        </w:rPr>
        <w:t>professional services</w:t>
      </w:r>
    </w:p>
    <w:p w:rsidR="00813152" w:rsidRPr="00A30D36" w:rsidRDefault="00813152" w:rsidP="00813152">
      <w:pPr>
        <w:pStyle w:val="ListParagraph"/>
        <w:numPr>
          <w:ilvl w:val="0"/>
          <w:numId w:val="14"/>
        </w:numPr>
        <w:spacing w:before="60" w:after="60"/>
        <w:ind w:left="360"/>
        <w:contextualSpacing w:val="0"/>
        <w:rPr>
          <w:rFonts w:ascii="Times New Roman" w:hAnsi="Times New Roman"/>
          <w:szCs w:val="24"/>
        </w:rPr>
      </w:pPr>
      <w:r w:rsidRPr="00A30D36">
        <w:rPr>
          <w:rFonts w:ascii="Times New Roman" w:hAnsi="Times New Roman"/>
          <w:szCs w:val="24"/>
        </w:rPr>
        <w:t>real estate</w:t>
      </w:r>
    </w:p>
    <w:p w:rsidR="00813152" w:rsidRPr="00A30D36" w:rsidRDefault="00813152" w:rsidP="00813152">
      <w:pPr>
        <w:pStyle w:val="ListParagraph"/>
        <w:numPr>
          <w:ilvl w:val="0"/>
          <w:numId w:val="14"/>
        </w:numPr>
        <w:spacing w:before="60" w:after="60"/>
        <w:ind w:left="360"/>
        <w:contextualSpacing w:val="0"/>
        <w:rPr>
          <w:rFonts w:ascii="Times New Roman" w:hAnsi="Times New Roman"/>
          <w:szCs w:val="24"/>
        </w:rPr>
      </w:pPr>
      <w:r w:rsidRPr="00A30D36">
        <w:rPr>
          <w:rFonts w:ascii="Times New Roman" w:hAnsi="Times New Roman"/>
          <w:szCs w:val="24"/>
        </w:rPr>
        <w:t>merchandise donated for use by the NAP organization</w:t>
      </w:r>
    </w:p>
    <w:p w:rsidR="00813152" w:rsidRPr="00A30D36" w:rsidRDefault="00813152" w:rsidP="00813152">
      <w:pPr>
        <w:pStyle w:val="ListParagraph"/>
        <w:numPr>
          <w:ilvl w:val="0"/>
          <w:numId w:val="14"/>
        </w:numPr>
        <w:spacing w:before="60" w:after="60"/>
        <w:ind w:left="360"/>
        <w:contextualSpacing w:val="0"/>
        <w:rPr>
          <w:rFonts w:ascii="Times New Roman" w:hAnsi="Times New Roman"/>
          <w:szCs w:val="24"/>
        </w:rPr>
      </w:pPr>
      <w:r w:rsidRPr="00A30D36">
        <w:rPr>
          <w:rFonts w:ascii="Times New Roman" w:hAnsi="Times New Roman"/>
          <w:szCs w:val="24"/>
        </w:rPr>
        <w:t>merchandise donated to be sold, auctioned, or raffled</w:t>
      </w:r>
    </w:p>
    <w:p w:rsidR="00813152" w:rsidRPr="00A30D36" w:rsidRDefault="00813152" w:rsidP="00813152">
      <w:pPr>
        <w:numPr>
          <w:ilvl w:val="0"/>
          <w:numId w:val="5"/>
        </w:numPr>
        <w:spacing w:before="120" w:after="120"/>
        <w:rPr>
          <w:rFonts w:ascii="Times New Roman" w:hAnsi="Times New Roman"/>
          <w:szCs w:val="24"/>
        </w:rPr>
        <w:sectPr w:rsidR="00813152" w:rsidRPr="00A30D36" w:rsidSect="00A84D03">
          <w:type w:val="continuous"/>
          <w:pgSz w:w="12240" w:h="15840"/>
          <w:pgMar w:top="900" w:right="1440" w:bottom="1440" w:left="1440" w:header="720" w:footer="720" w:gutter="0"/>
          <w:cols w:num="2" w:space="720"/>
          <w:docGrid w:linePitch="360"/>
        </w:sectPr>
      </w:pPr>
    </w:p>
    <w:p w:rsidR="009D2B4A" w:rsidRPr="00431520" w:rsidRDefault="00084D0C" w:rsidP="00431520">
      <w:pPr>
        <w:pStyle w:val="ListParagraph"/>
        <w:numPr>
          <w:ilvl w:val="0"/>
          <w:numId w:val="26"/>
        </w:numPr>
        <w:spacing w:before="120" w:after="120"/>
        <w:ind w:left="720"/>
        <w:contextualSpacing w:val="0"/>
        <w:rPr>
          <w:rFonts w:ascii="Times New Roman" w:hAnsi="Times New Roman"/>
          <w:bCs/>
          <w:szCs w:val="24"/>
        </w:rPr>
      </w:pPr>
      <w:r w:rsidRPr="00A30D36">
        <w:rPr>
          <w:rFonts w:ascii="Times New Roman" w:hAnsi="Times New Roman"/>
          <w:szCs w:val="24"/>
        </w:rPr>
        <w:t xml:space="preserve">Value, Date of Donation, and Required Documentation </w:t>
      </w:r>
      <w:r w:rsidR="009D2B4A" w:rsidRPr="00A30D36">
        <w:rPr>
          <w:rFonts w:ascii="Times New Roman" w:hAnsi="Times New Roman"/>
          <w:szCs w:val="24"/>
        </w:rPr>
        <w:t xml:space="preserve">for </w:t>
      </w:r>
      <w:r w:rsidRPr="00A30D36">
        <w:rPr>
          <w:rFonts w:ascii="Times New Roman" w:hAnsi="Times New Roman"/>
          <w:bCs/>
          <w:szCs w:val="24"/>
        </w:rPr>
        <w:t>additional categories for donations by businesses</w:t>
      </w:r>
      <w:r w:rsidR="00D15D36" w:rsidRPr="00A30D36">
        <w:rPr>
          <w:rFonts w:ascii="Times New Roman" w:hAnsi="Times New Roman"/>
          <w:bCs/>
          <w:szCs w:val="24"/>
        </w:rPr>
        <w:t xml:space="preserve"> not covered in Section III</w:t>
      </w:r>
      <w:r w:rsidR="009D2B4A" w:rsidRPr="00A30D36">
        <w:rPr>
          <w:rFonts w:ascii="Times New Roman" w:hAnsi="Times New Roman"/>
          <w:bCs/>
          <w:szCs w:val="24"/>
        </w:rPr>
        <w:t>:</w:t>
      </w:r>
    </w:p>
    <w:p w:rsidR="00813152" w:rsidRPr="00A30D36" w:rsidRDefault="00813152" w:rsidP="009D2B4A">
      <w:pPr>
        <w:pStyle w:val="ListParagraph"/>
        <w:numPr>
          <w:ilvl w:val="0"/>
          <w:numId w:val="25"/>
        </w:numPr>
        <w:spacing w:before="120"/>
        <w:ind w:left="1440"/>
        <w:rPr>
          <w:rFonts w:ascii="Times New Roman" w:hAnsi="Times New Roman"/>
          <w:bCs/>
          <w:szCs w:val="24"/>
        </w:rPr>
      </w:pPr>
      <w:r w:rsidRPr="00A30D36">
        <w:rPr>
          <w:rFonts w:ascii="Times New Roman" w:hAnsi="Times New Roman"/>
          <w:b/>
          <w:bCs/>
          <w:i/>
          <w:szCs w:val="24"/>
        </w:rPr>
        <w:t>Merchandise (other than motor vehicles) donated to be sold, auctioned, or raffled:</w:t>
      </w:r>
      <w:r w:rsidRPr="00A30D36">
        <w:rPr>
          <w:rFonts w:ascii="Times New Roman" w:hAnsi="Times New Roman"/>
          <w:szCs w:val="24"/>
        </w:rPr>
        <w:t xml:space="preserve"> </w:t>
      </w:r>
      <w:r w:rsidRPr="00A30D36">
        <w:rPr>
          <w:rFonts w:ascii="Times New Roman" w:hAnsi="Times New Roman"/>
          <w:bCs/>
          <w:szCs w:val="24"/>
        </w:rPr>
        <w:t>Documentation of the cost of the item, the proceeds received by the neighborhood organization, and the date the proceeds were received must be submitted with the TCR-B.  The value of merchandise is the lesser of the actual cost of the item or the proceeds received by the neighborhood organization.  The date of the donation is the date the proceeds are received by the neighborhood organization.</w:t>
      </w:r>
    </w:p>
    <w:p w:rsidR="00813152" w:rsidRPr="00A30D36" w:rsidRDefault="00813152" w:rsidP="009D2B4A">
      <w:pPr>
        <w:pStyle w:val="ListParagraph"/>
        <w:widowControl/>
        <w:numPr>
          <w:ilvl w:val="0"/>
          <w:numId w:val="18"/>
        </w:numPr>
        <w:autoSpaceDE w:val="0"/>
        <w:autoSpaceDN w:val="0"/>
        <w:adjustRightInd w:val="0"/>
        <w:spacing w:before="120" w:after="120"/>
        <w:ind w:left="1440"/>
        <w:contextualSpacing w:val="0"/>
        <w:rPr>
          <w:rFonts w:ascii="Times New Roman" w:hAnsi="Times New Roman"/>
          <w:szCs w:val="24"/>
        </w:rPr>
      </w:pPr>
      <w:r w:rsidRPr="00A30D36">
        <w:rPr>
          <w:rFonts w:ascii="Times New Roman" w:hAnsi="Times New Roman"/>
          <w:b/>
          <w:bCs/>
          <w:i/>
          <w:szCs w:val="24"/>
        </w:rPr>
        <w:t xml:space="preserve">New or used merchandise donated to be used by the NAP organization: </w:t>
      </w:r>
      <w:r w:rsidRPr="00A30D36">
        <w:rPr>
          <w:rFonts w:ascii="Times New Roman" w:hAnsi="Times New Roman"/>
          <w:szCs w:val="24"/>
        </w:rPr>
        <w:t>Documentation required for federal income tax purposes to support the value and date of donation must be submitted with the TCR-B. The amount listed should normally be the same as used for federal tax purposes. Items that have been fully depreciated are not eligible for NAP tax credits.  (See IRS Publication 561 for additional information on determining value of donations.)</w:t>
      </w:r>
    </w:p>
    <w:p w:rsidR="00813152" w:rsidRPr="00A30D36" w:rsidRDefault="00813152" w:rsidP="009D2B4A">
      <w:pPr>
        <w:pStyle w:val="ListParagraph"/>
        <w:numPr>
          <w:ilvl w:val="0"/>
          <w:numId w:val="18"/>
        </w:numPr>
        <w:spacing w:before="120" w:after="120"/>
        <w:ind w:left="1440"/>
        <w:contextualSpacing w:val="0"/>
        <w:rPr>
          <w:rFonts w:ascii="Times New Roman" w:hAnsi="Times New Roman"/>
          <w:bCs/>
          <w:szCs w:val="24"/>
        </w:rPr>
      </w:pPr>
      <w:r w:rsidRPr="00A30D36">
        <w:rPr>
          <w:rFonts w:ascii="Times New Roman" w:hAnsi="Times New Roman"/>
          <w:b/>
          <w:bCs/>
          <w:i/>
          <w:szCs w:val="24"/>
        </w:rPr>
        <w:t>Motor Vehicles:</w:t>
      </w:r>
      <w:r w:rsidRPr="00A30D36">
        <w:rPr>
          <w:rFonts w:ascii="Times New Roman" w:hAnsi="Times New Roman"/>
          <w:bCs/>
          <w:szCs w:val="24"/>
        </w:rPr>
        <w:t xml:space="preserve"> </w:t>
      </w:r>
      <w:r w:rsidRPr="00A30D36">
        <w:rPr>
          <w:rFonts w:ascii="Times New Roman" w:hAnsi="Times New Roman"/>
          <w:szCs w:val="24"/>
        </w:rPr>
        <w:t>A copy of the dealer invoice listing actual cost, the Bill of Sale showing the donation was made to the nonprofit organization, and a copy of the title showing transfer to the nonprofit organization must be submitted with the TCR-B.  If the donor is not a dealership, and is not in the business of selling motor vehicles, then the business donor must acquire a certified appraisal. The value of the vehicle donation is such value as determined for federal income tax purposes.  See IRS Publication 561.  The date of donation is the date of transfer.</w:t>
      </w:r>
    </w:p>
    <w:p w:rsidR="00813152" w:rsidRPr="00A30D36" w:rsidRDefault="00813152" w:rsidP="009D2B4A">
      <w:pPr>
        <w:pStyle w:val="ListParagraph"/>
        <w:numPr>
          <w:ilvl w:val="0"/>
          <w:numId w:val="18"/>
        </w:numPr>
        <w:spacing w:before="120" w:after="120"/>
        <w:ind w:left="1440"/>
        <w:contextualSpacing w:val="0"/>
        <w:rPr>
          <w:rFonts w:ascii="Times New Roman" w:hAnsi="Times New Roman"/>
          <w:bCs/>
          <w:szCs w:val="24"/>
        </w:rPr>
      </w:pPr>
      <w:r w:rsidRPr="00A30D36">
        <w:rPr>
          <w:rFonts w:ascii="Times New Roman" w:hAnsi="Times New Roman"/>
          <w:b/>
          <w:bCs/>
          <w:i/>
          <w:szCs w:val="24"/>
        </w:rPr>
        <w:t>Real Estate:</w:t>
      </w:r>
      <w:r w:rsidRPr="00A30D36">
        <w:rPr>
          <w:rFonts w:ascii="Times New Roman" w:hAnsi="Times New Roman"/>
          <w:bCs/>
          <w:szCs w:val="24"/>
        </w:rPr>
        <w:t xml:space="preserve"> </w:t>
      </w:r>
      <w:r w:rsidRPr="00A30D36">
        <w:rPr>
          <w:rFonts w:ascii="Times New Roman" w:hAnsi="Times New Roman"/>
          <w:szCs w:val="24"/>
        </w:rPr>
        <w:t>A copy of a current appraisal and recorded deed of transfer to support the value and date of donation must be submitted with the TCR-B.  The amount listed should normally be the same as used for federal tax purposes. (See IRS Publication 561 for additional information on determining value of donations.)</w:t>
      </w:r>
    </w:p>
    <w:p w:rsidR="00813152" w:rsidRPr="00A30D36" w:rsidRDefault="00813152" w:rsidP="009D2B4A">
      <w:pPr>
        <w:pStyle w:val="ListParagraph"/>
        <w:widowControl/>
        <w:numPr>
          <w:ilvl w:val="0"/>
          <w:numId w:val="18"/>
        </w:numPr>
        <w:autoSpaceDE w:val="0"/>
        <w:autoSpaceDN w:val="0"/>
        <w:adjustRightInd w:val="0"/>
        <w:spacing w:before="120" w:after="120"/>
        <w:ind w:left="1440"/>
        <w:contextualSpacing w:val="0"/>
        <w:rPr>
          <w:rFonts w:ascii="Times New Roman" w:hAnsi="Times New Roman"/>
          <w:szCs w:val="24"/>
        </w:rPr>
      </w:pPr>
      <w:r w:rsidRPr="00A30D36">
        <w:rPr>
          <w:rFonts w:ascii="Times New Roman" w:hAnsi="Times New Roman"/>
          <w:b/>
          <w:bCs/>
          <w:i/>
          <w:szCs w:val="24"/>
        </w:rPr>
        <w:t xml:space="preserve">Rent/lease of facility: </w:t>
      </w:r>
      <w:r w:rsidRPr="00A30D36">
        <w:rPr>
          <w:rFonts w:ascii="Times New Roman" w:hAnsi="Times New Roman"/>
          <w:szCs w:val="24"/>
        </w:rPr>
        <w:t xml:space="preserve">The following must be submitted with the TCR-B:  Documentation verifying that the value assigned does not exceed the prevailing square footage rental charge for comparable property and was agreed to by the donor and the neighborhood organization in advance.   2)  Documentation </w:t>
      </w:r>
      <w:r w:rsidRPr="00A30D36">
        <w:rPr>
          <w:rFonts w:ascii="Times New Roman" w:hAnsi="Times New Roman"/>
          <w:szCs w:val="24"/>
        </w:rPr>
        <w:lastRenderedPageBreak/>
        <w:t>supporting the first date of use by the neighborhood organization must also be provided and used as the date of donation.</w:t>
      </w:r>
    </w:p>
    <w:p w:rsidR="00813152" w:rsidRPr="00A30D36" w:rsidRDefault="00813152" w:rsidP="009D2B4A">
      <w:pPr>
        <w:pStyle w:val="NormalCambriablack"/>
        <w:numPr>
          <w:ilvl w:val="0"/>
          <w:numId w:val="18"/>
        </w:numPr>
        <w:ind w:left="1440"/>
        <w:rPr>
          <w:rFonts w:ascii="Times New Roman" w:hAnsi="Times New Roman"/>
        </w:rPr>
      </w:pPr>
      <w:r w:rsidRPr="00A30D36">
        <w:rPr>
          <w:rFonts w:ascii="Times New Roman" w:hAnsi="Times New Roman"/>
          <w:b/>
          <w:i/>
        </w:rPr>
        <w:t xml:space="preserve">Professional Services: </w:t>
      </w:r>
      <w:r w:rsidRPr="00A30D36">
        <w:rPr>
          <w:rFonts w:ascii="Times New Roman" w:hAnsi="Times New Roman"/>
        </w:rPr>
        <w:t>The following must be submitted with the TCR-B: 1) Documentation that the sole proprietor, partnership, or limited liability company making the donation is engaged in the business of providing professional services. 2)  Documentation of the date the professional services were provided (used as the date of the donation). 3) Documentation to support that the value assigned does not exceed the limits set forth in § 58.1-439.22 (A) and (B).  For sole proprietorships, partnerships or limited liability companies, the value of professional services rendered by the proprietor or a partner to an approved NAP nonprofit organization must be</w:t>
      </w:r>
      <w:r w:rsidRPr="00A30D36">
        <w:rPr>
          <w:rFonts w:ascii="Times New Roman" w:hAnsi="Times New Roman"/>
          <w:bCs/>
        </w:rPr>
        <w:t xml:space="preserve"> the</w:t>
      </w:r>
      <w:r w:rsidRPr="00A30D36">
        <w:rPr>
          <w:rFonts w:ascii="Times New Roman" w:hAnsi="Times New Roman"/>
        </w:rPr>
        <w:t xml:space="preserve"> </w:t>
      </w:r>
      <w:r w:rsidRPr="00A30D36">
        <w:rPr>
          <w:rFonts w:ascii="Times New Roman" w:hAnsi="Times New Roman"/>
          <w:bCs/>
          <w:u w:val="single"/>
        </w:rPr>
        <w:t>lesser</w:t>
      </w:r>
      <w:r w:rsidRPr="00A30D36">
        <w:rPr>
          <w:rFonts w:ascii="Times New Roman" w:hAnsi="Times New Roman"/>
        </w:rPr>
        <w:t xml:space="preserve"> of the reasonable cost for similar services from other providers or </w:t>
      </w:r>
      <w:r w:rsidRPr="00A30D36">
        <w:rPr>
          <w:rFonts w:ascii="Times New Roman" w:hAnsi="Times New Roman"/>
          <w:bCs/>
        </w:rPr>
        <w:t xml:space="preserve">$125 per hour.  </w:t>
      </w:r>
      <w:r w:rsidRPr="00A30D36">
        <w:rPr>
          <w:rFonts w:ascii="Times New Roman" w:hAnsi="Times New Roman"/>
        </w:rPr>
        <w:t xml:space="preserve">For purposes of determining the amount of tax credit allowed for salaried employees, the </w:t>
      </w:r>
      <w:r w:rsidRPr="00A30D36">
        <w:rPr>
          <w:rFonts w:ascii="Times New Roman" w:hAnsi="Times New Roman"/>
          <w:bCs/>
        </w:rPr>
        <w:t>value</w:t>
      </w:r>
      <w:r w:rsidRPr="00A30D36">
        <w:rPr>
          <w:rFonts w:ascii="Times New Roman" w:hAnsi="Times New Roman"/>
        </w:rPr>
        <w:t xml:space="preserve"> of the professional service </w:t>
      </w:r>
      <w:r w:rsidRPr="00A30D36">
        <w:rPr>
          <w:rFonts w:ascii="Times New Roman" w:hAnsi="Times New Roman"/>
          <w:bCs/>
        </w:rPr>
        <w:t>is the salary that the employee was actually paid</w:t>
      </w:r>
      <w:r w:rsidRPr="00A30D36">
        <w:rPr>
          <w:rFonts w:ascii="Times New Roman" w:hAnsi="Times New Roman"/>
        </w:rPr>
        <w:t xml:space="preserve"> for the period of time professional services were provided (operating overhead and benefit costs are not to be included).</w:t>
      </w:r>
    </w:p>
    <w:p w:rsidR="00C36B30" w:rsidRPr="00A30D36" w:rsidRDefault="00A30D36" w:rsidP="00431520">
      <w:pPr>
        <w:pStyle w:val="Heading2"/>
        <w:spacing w:before="240"/>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VI</w:t>
      </w:r>
      <w:r w:rsidR="00C36B30" w:rsidRPr="00A30D36">
        <w:rPr>
          <w:rFonts w:ascii="Times New Roman" w:hAnsi="Times New Roman" w:cs="Times New Roman"/>
          <w:b/>
          <w:color w:val="auto"/>
          <w:sz w:val="24"/>
          <w:szCs w:val="24"/>
          <w:u w:val="single"/>
        </w:rPr>
        <w:t>I. Filing a Virginia Tax Return:</w:t>
      </w:r>
    </w:p>
    <w:p w:rsidR="006049DB" w:rsidRPr="00A30D36" w:rsidRDefault="006049DB" w:rsidP="00A52334">
      <w:pPr>
        <w:pStyle w:val="NormalCambriablack"/>
        <w:numPr>
          <w:ilvl w:val="0"/>
          <w:numId w:val="23"/>
        </w:numPr>
        <w:spacing w:before="120" w:after="120"/>
        <w:rPr>
          <w:rFonts w:ascii="Times New Roman" w:hAnsi="Times New Roman"/>
        </w:rPr>
      </w:pPr>
      <w:r w:rsidRPr="00A30D36">
        <w:rPr>
          <w:rFonts w:ascii="Times New Roman" w:hAnsi="Times New Roman"/>
        </w:rPr>
        <w:t xml:space="preserve">If a Virginia tax return </w:t>
      </w:r>
      <w:proofErr w:type="gramStart"/>
      <w:r w:rsidRPr="00A30D36">
        <w:rPr>
          <w:rFonts w:ascii="Times New Roman" w:hAnsi="Times New Roman"/>
        </w:rPr>
        <w:t>is filed</w:t>
      </w:r>
      <w:proofErr w:type="gramEnd"/>
      <w:r w:rsidRPr="00A30D36">
        <w:rPr>
          <w:rFonts w:ascii="Times New Roman" w:hAnsi="Times New Roman"/>
        </w:rPr>
        <w:t xml:space="preserve"> before tax credits have been reported to the Virginia Department of Taxation, the tax credits will be questioned.  </w:t>
      </w:r>
      <w:r w:rsidRPr="00673944">
        <w:rPr>
          <w:rFonts w:ascii="Times New Roman" w:hAnsi="Times New Roman"/>
        </w:rPr>
        <w:t>Tax credits </w:t>
      </w:r>
      <w:r w:rsidRPr="00673944">
        <w:rPr>
          <w:rFonts w:ascii="Times New Roman" w:hAnsi="Times New Roman"/>
          <w:u w:val="single"/>
        </w:rPr>
        <w:t>approved</w:t>
      </w:r>
      <w:r w:rsidRPr="00673944">
        <w:rPr>
          <w:rFonts w:ascii="Times New Roman" w:hAnsi="Times New Roman"/>
        </w:rPr>
        <w:t> by VDOE during the same calendar year as the donation will be reported to the Department of Taxation by </w:t>
      </w:r>
      <w:r w:rsidRPr="00673944">
        <w:rPr>
          <w:rStyle w:val="aqj"/>
          <w:rFonts w:ascii="Times New Roman" w:hAnsi="Times New Roman"/>
        </w:rPr>
        <w:t>January 15</w:t>
      </w:r>
      <w:r w:rsidRPr="00673944">
        <w:rPr>
          <w:rFonts w:ascii="Times New Roman" w:hAnsi="Times New Roman"/>
        </w:rPr>
        <w:t xml:space="preserve"> of the following calendar year (i.e. if a 2018 donation is approved by VDOE by December 31, 2018, it will be reported to the Department of Taxation by January 15, 2019).  Tax credits approved by VDOE for a donation made the prior calendar year will be reported to the Department of Taxation by the 15th of the following month (i.e. if a credit for a 2018 donation is approved by VDOE on </w:t>
      </w:r>
      <w:r w:rsidRPr="00673944">
        <w:rPr>
          <w:rStyle w:val="aqj"/>
          <w:rFonts w:ascii="Times New Roman" w:hAnsi="Times New Roman"/>
        </w:rPr>
        <w:t>January 2, 2019</w:t>
      </w:r>
      <w:r w:rsidRPr="00673944">
        <w:rPr>
          <w:rFonts w:ascii="Times New Roman" w:hAnsi="Times New Roman"/>
        </w:rPr>
        <w:t>, it will be reported to the Department of Taxation by </w:t>
      </w:r>
      <w:r w:rsidRPr="00673944">
        <w:rPr>
          <w:rStyle w:val="aqj"/>
          <w:rFonts w:ascii="Times New Roman" w:hAnsi="Times New Roman"/>
        </w:rPr>
        <w:t>February 15, 2019</w:t>
      </w:r>
      <w:r w:rsidRPr="00673944">
        <w:rPr>
          <w:rFonts w:ascii="Times New Roman" w:hAnsi="Times New Roman"/>
        </w:rPr>
        <w:t>.)</w:t>
      </w:r>
    </w:p>
    <w:p w:rsidR="00C36B30" w:rsidRPr="00673944" w:rsidRDefault="00C36B30" w:rsidP="00A52334">
      <w:pPr>
        <w:pStyle w:val="NormalCambriablack"/>
        <w:numPr>
          <w:ilvl w:val="0"/>
          <w:numId w:val="23"/>
        </w:numPr>
        <w:spacing w:before="120" w:after="120"/>
        <w:rPr>
          <w:rFonts w:ascii="Times New Roman" w:hAnsi="Times New Roman"/>
        </w:rPr>
      </w:pPr>
      <w:r w:rsidRPr="00673944">
        <w:rPr>
          <w:rFonts w:ascii="Times New Roman" w:hAnsi="Times New Roman"/>
        </w:rPr>
        <w:t xml:space="preserve">When filing a Virginia tax return by U.S. Mail, a copy of the Tax Credit Certificate must be attached.  For electronic tax returns in which a copy of the Tax Credit Certificate cannot be attached, the Department of Taxation will match the return with the current report of approved </w:t>
      </w:r>
      <w:r w:rsidR="004401B1">
        <w:rPr>
          <w:rFonts w:ascii="Times New Roman" w:hAnsi="Times New Roman"/>
        </w:rPr>
        <w:t>tax credits submitted by VDOE.</w:t>
      </w:r>
    </w:p>
    <w:p w:rsidR="00813152" w:rsidRPr="00A30D36" w:rsidRDefault="006049DB" w:rsidP="00A30D36">
      <w:pPr>
        <w:pStyle w:val="NormalCambriablack"/>
        <w:numPr>
          <w:ilvl w:val="0"/>
          <w:numId w:val="23"/>
        </w:numPr>
        <w:spacing w:after="120"/>
        <w:rPr>
          <w:rFonts w:ascii="Times New Roman" w:hAnsi="Times New Roman"/>
        </w:rPr>
      </w:pPr>
      <w:r w:rsidRPr="00673944">
        <w:rPr>
          <w:rFonts w:ascii="Times New Roman" w:hAnsi="Times New Roman"/>
        </w:rPr>
        <w:t xml:space="preserve">All pass-through businesses (Sub S, Partnership, LLP, LLC, PC, etc.) must submit a Form 502 VK-1 (Pass-Through Entity Tax Form) with a copy of the tax credit certificate when filing tax returns with the Virginia Department of Taxation. Forms can be obtained from the Department of Taxation at the following Web address: </w:t>
      </w:r>
      <w:r w:rsidRPr="00673944">
        <w:t>http://www.tax.virginia.gov/site.cfm?alias=busforms</w:t>
      </w:r>
      <w:r w:rsidRPr="00A30D36">
        <w:rPr>
          <w:rFonts w:ascii="Times New Roman" w:hAnsi="Times New Roman"/>
        </w:rPr>
        <w:t>.</w:t>
      </w:r>
    </w:p>
    <w:sectPr w:rsidR="00813152" w:rsidRPr="00A30D36" w:rsidSect="0060379B">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36" w:rsidRDefault="00A30D36" w:rsidP="00FD39C0">
      <w:r>
        <w:separator/>
      </w:r>
    </w:p>
  </w:endnote>
  <w:endnote w:type="continuationSeparator" w:id="0">
    <w:p w:rsidR="00A30D36" w:rsidRDefault="00A30D36" w:rsidP="00FD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36" w:rsidRPr="00EF1B42" w:rsidRDefault="00A30D36" w:rsidP="004341F5">
    <w:pPr>
      <w:rPr>
        <w:rFonts w:ascii="Times New Roman" w:hAnsi="Times New Roman"/>
        <w:sz w:val="20"/>
      </w:rPr>
    </w:pPr>
    <w:r>
      <w:rPr>
        <w:rFonts w:ascii="Times New Roman" w:hAnsi="Times New Roman"/>
        <w:sz w:val="20"/>
      </w:rPr>
      <w:t>Virginia Department of Educa</w:t>
    </w:r>
    <w:r w:rsidRPr="00EF1B42">
      <w:rPr>
        <w:rFonts w:ascii="Times New Roman" w:hAnsi="Times New Roman"/>
        <w:sz w:val="20"/>
      </w:rPr>
      <w:t>t</w:t>
    </w:r>
    <w:r>
      <w:rPr>
        <w:rFonts w:ascii="Times New Roman" w:hAnsi="Times New Roman"/>
        <w:sz w:val="20"/>
      </w:rPr>
      <w:t>i</w:t>
    </w:r>
    <w:r w:rsidRPr="00EF1B42">
      <w:rPr>
        <w:rFonts w:ascii="Times New Roman" w:hAnsi="Times New Roman"/>
        <w:sz w:val="20"/>
      </w:rPr>
      <w:t>on</w:t>
    </w:r>
    <w:r w:rsidRPr="00EF1B42">
      <w:rPr>
        <w:rFonts w:ascii="Times New Roman" w:hAnsi="Times New Roman"/>
        <w:sz w:val="20"/>
      </w:rPr>
      <w:ptab w:relativeTo="margin" w:alignment="center" w:leader="none"/>
    </w:r>
    <w:r w:rsidRPr="00EF1B42">
      <w:rPr>
        <w:rFonts w:ascii="Times New Roman" w:hAnsi="Times New Roman"/>
        <w:sz w:val="20"/>
      </w:rPr>
      <w:t xml:space="preserve">Page </w:t>
    </w:r>
    <w:r w:rsidRPr="00477E3F">
      <w:rPr>
        <w:rFonts w:ascii="Times New Roman" w:hAnsi="Times New Roman"/>
        <w:sz w:val="20"/>
      </w:rPr>
      <w:fldChar w:fldCharType="begin"/>
    </w:r>
    <w:r w:rsidRPr="00477E3F">
      <w:rPr>
        <w:rFonts w:ascii="Times New Roman" w:hAnsi="Times New Roman"/>
        <w:sz w:val="20"/>
      </w:rPr>
      <w:instrText xml:space="preserve"> PAGE   \* MERGEFORMAT </w:instrText>
    </w:r>
    <w:r w:rsidRPr="00477E3F">
      <w:rPr>
        <w:rFonts w:ascii="Times New Roman" w:hAnsi="Times New Roman"/>
        <w:sz w:val="20"/>
      </w:rPr>
      <w:fldChar w:fldCharType="separate"/>
    </w:r>
    <w:r w:rsidR="008B3BB8">
      <w:rPr>
        <w:rFonts w:ascii="Times New Roman" w:hAnsi="Times New Roman"/>
        <w:noProof/>
        <w:sz w:val="20"/>
      </w:rPr>
      <w:t>5</w:t>
    </w:r>
    <w:r w:rsidRPr="00477E3F">
      <w:rPr>
        <w:rFonts w:ascii="Times New Roman" w:hAnsi="Times New Roman"/>
        <w:noProof/>
        <w:sz w:val="20"/>
      </w:rPr>
      <w:fldChar w:fldCharType="end"/>
    </w:r>
    <w:r>
      <w:rPr>
        <w:rFonts w:ascii="Times New Roman" w:hAnsi="Times New Roman"/>
        <w:noProof/>
        <w:sz w:val="20"/>
      </w:rPr>
      <w:t xml:space="preserve"> </w:t>
    </w:r>
    <w:r w:rsidRPr="00EF1B42">
      <w:rPr>
        <w:rFonts w:ascii="Times New Roman" w:hAnsi="Times New Roman"/>
        <w:sz w:val="20"/>
      </w:rPr>
      <w:t xml:space="preserve">of </w:t>
    </w:r>
    <w:r>
      <w:rPr>
        <w:rFonts w:ascii="Times New Roman" w:hAnsi="Times New Roman"/>
        <w:sz w:val="20"/>
      </w:rPr>
      <w:t>5</w:t>
    </w:r>
    <w:r w:rsidRPr="00EF1B42">
      <w:rPr>
        <w:rFonts w:ascii="Times New Roman" w:hAnsi="Times New Roman"/>
        <w:sz w:val="20"/>
      </w:rPr>
      <w:ptab w:relativeTo="margin" w:alignment="right" w:leader="none"/>
    </w:r>
    <w:r w:rsidR="001F7391">
      <w:rPr>
        <w:rFonts w:ascii="Times New Roman" w:hAnsi="Times New Roman"/>
        <w:sz w:val="20"/>
      </w:rPr>
      <w:t xml:space="preserve">Revised July </w:t>
    </w:r>
    <w:r w:rsidRPr="00EF1B42">
      <w:rPr>
        <w:rFonts w:ascii="Times New Roman" w:hAnsi="Times New Roman"/>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36" w:rsidRDefault="00A30D36" w:rsidP="00FD39C0">
      <w:r>
        <w:separator/>
      </w:r>
    </w:p>
  </w:footnote>
  <w:footnote w:type="continuationSeparator" w:id="0">
    <w:p w:rsidR="00A30D36" w:rsidRDefault="00A30D36" w:rsidP="00FD3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EA"/>
    <w:multiLevelType w:val="hybridMultilevel"/>
    <w:tmpl w:val="B6E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1F41"/>
    <w:multiLevelType w:val="hybridMultilevel"/>
    <w:tmpl w:val="5240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5994"/>
    <w:multiLevelType w:val="hybridMultilevel"/>
    <w:tmpl w:val="8BDE27EA"/>
    <w:lvl w:ilvl="0" w:tplc="3956239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6A5D"/>
    <w:multiLevelType w:val="hybridMultilevel"/>
    <w:tmpl w:val="3A3A3CC6"/>
    <w:lvl w:ilvl="0" w:tplc="C1F686EC">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415146"/>
    <w:multiLevelType w:val="hybridMultilevel"/>
    <w:tmpl w:val="4A8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D32A5"/>
    <w:multiLevelType w:val="hybridMultilevel"/>
    <w:tmpl w:val="30D275D0"/>
    <w:lvl w:ilvl="0" w:tplc="3956239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A7E42"/>
    <w:multiLevelType w:val="hybridMultilevel"/>
    <w:tmpl w:val="161E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D1C30"/>
    <w:multiLevelType w:val="hybridMultilevel"/>
    <w:tmpl w:val="1E40FE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C170A4"/>
    <w:multiLevelType w:val="hybridMultilevel"/>
    <w:tmpl w:val="1756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43FB2"/>
    <w:multiLevelType w:val="hybridMultilevel"/>
    <w:tmpl w:val="9754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A4945"/>
    <w:multiLevelType w:val="hybridMultilevel"/>
    <w:tmpl w:val="11DA39F8"/>
    <w:lvl w:ilvl="0" w:tplc="3956239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00F72"/>
    <w:multiLevelType w:val="hybridMultilevel"/>
    <w:tmpl w:val="927C18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67BCD"/>
    <w:multiLevelType w:val="hybridMultilevel"/>
    <w:tmpl w:val="673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53358"/>
    <w:multiLevelType w:val="hybridMultilevel"/>
    <w:tmpl w:val="764A74E4"/>
    <w:lvl w:ilvl="0" w:tplc="3956239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749EC"/>
    <w:multiLevelType w:val="hybridMultilevel"/>
    <w:tmpl w:val="306A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54B65"/>
    <w:multiLevelType w:val="hybridMultilevel"/>
    <w:tmpl w:val="29AAD27A"/>
    <w:lvl w:ilvl="0" w:tplc="688E718E">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C41361"/>
    <w:multiLevelType w:val="hybridMultilevel"/>
    <w:tmpl w:val="D8EEA638"/>
    <w:lvl w:ilvl="0" w:tplc="4A16802E">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F2E84"/>
    <w:multiLevelType w:val="hybridMultilevel"/>
    <w:tmpl w:val="59E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82EBF"/>
    <w:multiLevelType w:val="hybridMultilevel"/>
    <w:tmpl w:val="4BFA27FE"/>
    <w:lvl w:ilvl="0" w:tplc="3956239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E67FB"/>
    <w:multiLevelType w:val="hybridMultilevel"/>
    <w:tmpl w:val="ADD2F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F1483"/>
    <w:multiLevelType w:val="hybridMultilevel"/>
    <w:tmpl w:val="0FB87EC8"/>
    <w:lvl w:ilvl="0" w:tplc="3956239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85EAF"/>
    <w:multiLevelType w:val="hybridMultilevel"/>
    <w:tmpl w:val="31C24260"/>
    <w:lvl w:ilvl="0" w:tplc="3956239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B6D1D"/>
    <w:multiLevelType w:val="hybridMultilevel"/>
    <w:tmpl w:val="D0781102"/>
    <w:lvl w:ilvl="0" w:tplc="1AD26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8259C"/>
    <w:multiLevelType w:val="hybridMultilevel"/>
    <w:tmpl w:val="37F080A4"/>
    <w:lvl w:ilvl="0" w:tplc="3956239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D049E"/>
    <w:multiLevelType w:val="hybridMultilevel"/>
    <w:tmpl w:val="A9A48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06FE3"/>
    <w:multiLevelType w:val="hybridMultilevel"/>
    <w:tmpl w:val="3F449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8"/>
  </w:num>
  <w:num w:numId="4">
    <w:abstractNumId w:val="19"/>
  </w:num>
  <w:num w:numId="5">
    <w:abstractNumId w:val="1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4"/>
  </w:num>
  <w:num w:numId="10">
    <w:abstractNumId w:val="6"/>
  </w:num>
  <w:num w:numId="11">
    <w:abstractNumId w:val="22"/>
  </w:num>
  <w:num w:numId="12">
    <w:abstractNumId w:val="1"/>
  </w:num>
  <w:num w:numId="13">
    <w:abstractNumId w:val="23"/>
  </w:num>
  <w:num w:numId="14">
    <w:abstractNumId w:val="3"/>
  </w:num>
  <w:num w:numId="15">
    <w:abstractNumId w:val="24"/>
  </w:num>
  <w:num w:numId="16">
    <w:abstractNumId w:val="2"/>
  </w:num>
  <w:num w:numId="17">
    <w:abstractNumId w:val="20"/>
  </w:num>
  <w:num w:numId="18">
    <w:abstractNumId w:val="13"/>
  </w:num>
  <w:num w:numId="19">
    <w:abstractNumId w:val="16"/>
  </w:num>
  <w:num w:numId="20">
    <w:abstractNumId w:val="5"/>
  </w:num>
  <w:num w:numId="21">
    <w:abstractNumId w:val="21"/>
  </w:num>
  <w:num w:numId="22">
    <w:abstractNumId w:val="4"/>
  </w:num>
  <w:num w:numId="23">
    <w:abstractNumId w:val="17"/>
  </w:num>
  <w:num w:numId="24">
    <w:abstractNumId w:val="0"/>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formLetters"/>
    <w:dataType w:val="textFile"/>
    <w:activeRecord w:val="-1"/>
  </w:mailMerge>
  <w:revisionView w:markup="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16"/>
    <w:rsid w:val="00016E19"/>
    <w:rsid w:val="00016F55"/>
    <w:rsid w:val="00022053"/>
    <w:rsid w:val="00031256"/>
    <w:rsid w:val="00042D68"/>
    <w:rsid w:val="00043F9D"/>
    <w:rsid w:val="00080648"/>
    <w:rsid w:val="000847A3"/>
    <w:rsid w:val="00084D0C"/>
    <w:rsid w:val="000B3D31"/>
    <w:rsid w:val="001058BA"/>
    <w:rsid w:val="00122FC8"/>
    <w:rsid w:val="0012690C"/>
    <w:rsid w:val="00131382"/>
    <w:rsid w:val="00131EE2"/>
    <w:rsid w:val="00135757"/>
    <w:rsid w:val="001518AA"/>
    <w:rsid w:val="00172832"/>
    <w:rsid w:val="00181803"/>
    <w:rsid w:val="00183DFA"/>
    <w:rsid w:val="001840BE"/>
    <w:rsid w:val="00184A94"/>
    <w:rsid w:val="0019545B"/>
    <w:rsid w:val="001A7000"/>
    <w:rsid w:val="001B0269"/>
    <w:rsid w:val="001C7B3C"/>
    <w:rsid w:val="001D43A8"/>
    <w:rsid w:val="001E593A"/>
    <w:rsid w:val="001E63A7"/>
    <w:rsid w:val="001F7391"/>
    <w:rsid w:val="00206609"/>
    <w:rsid w:val="0021388C"/>
    <w:rsid w:val="00215000"/>
    <w:rsid w:val="00225AE1"/>
    <w:rsid w:val="002644A9"/>
    <w:rsid w:val="0029221A"/>
    <w:rsid w:val="002A1465"/>
    <w:rsid w:val="002A65B4"/>
    <w:rsid w:val="002C299E"/>
    <w:rsid w:val="003133FE"/>
    <w:rsid w:val="00316860"/>
    <w:rsid w:val="00325054"/>
    <w:rsid w:val="003427F3"/>
    <w:rsid w:val="00343A12"/>
    <w:rsid w:val="00346A04"/>
    <w:rsid w:val="00352721"/>
    <w:rsid w:val="003572A5"/>
    <w:rsid w:val="0036179F"/>
    <w:rsid w:val="003702A0"/>
    <w:rsid w:val="003948BC"/>
    <w:rsid w:val="00396A2F"/>
    <w:rsid w:val="003A252E"/>
    <w:rsid w:val="003C4FD4"/>
    <w:rsid w:val="003D6682"/>
    <w:rsid w:val="003E6A21"/>
    <w:rsid w:val="00404AD7"/>
    <w:rsid w:val="00431520"/>
    <w:rsid w:val="004341F5"/>
    <w:rsid w:val="004401B1"/>
    <w:rsid w:val="004669F0"/>
    <w:rsid w:val="00477E3F"/>
    <w:rsid w:val="00485E2F"/>
    <w:rsid w:val="00490AE9"/>
    <w:rsid w:val="004A0080"/>
    <w:rsid w:val="004A7E4B"/>
    <w:rsid w:val="004B7BF9"/>
    <w:rsid w:val="004E2968"/>
    <w:rsid w:val="004F703E"/>
    <w:rsid w:val="00502CA6"/>
    <w:rsid w:val="00522C81"/>
    <w:rsid w:val="005413C0"/>
    <w:rsid w:val="005552D0"/>
    <w:rsid w:val="005626B8"/>
    <w:rsid w:val="00564379"/>
    <w:rsid w:val="005645A0"/>
    <w:rsid w:val="00572474"/>
    <w:rsid w:val="005738F7"/>
    <w:rsid w:val="0058618C"/>
    <w:rsid w:val="00597CE1"/>
    <w:rsid w:val="005C3B20"/>
    <w:rsid w:val="005C44C1"/>
    <w:rsid w:val="0060379B"/>
    <w:rsid w:val="006049DB"/>
    <w:rsid w:val="00611D9D"/>
    <w:rsid w:val="006453C6"/>
    <w:rsid w:val="0064766A"/>
    <w:rsid w:val="00661045"/>
    <w:rsid w:val="00673944"/>
    <w:rsid w:val="00674D4C"/>
    <w:rsid w:val="00675A35"/>
    <w:rsid w:val="00692D8B"/>
    <w:rsid w:val="006F42FC"/>
    <w:rsid w:val="00704F16"/>
    <w:rsid w:val="00732C6C"/>
    <w:rsid w:val="00741291"/>
    <w:rsid w:val="00741BB0"/>
    <w:rsid w:val="00760D00"/>
    <w:rsid w:val="00782EE0"/>
    <w:rsid w:val="007911ED"/>
    <w:rsid w:val="007B0805"/>
    <w:rsid w:val="007B0BD1"/>
    <w:rsid w:val="007E2CB2"/>
    <w:rsid w:val="007E5300"/>
    <w:rsid w:val="007F2123"/>
    <w:rsid w:val="008070AE"/>
    <w:rsid w:val="00813152"/>
    <w:rsid w:val="00816D28"/>
    <w:rsid w:val="00826FFC"/>
    <w:rsid w:val="008328C1"/>
    <w:rsid w:val="00834AA6"/>
    <w:rsid w:val="00836340"/>
    <w:rsid w:val="00871A6E"/>
    <w:rsid w:val="00895F14"/>
    <w:rsid w:val="008A30AA"/>
    <w:rsid w:val="008B3BB8"/>
    <w:rsid w:val="008B4492"/>
    <w:rsid w:val="008D3C93"/>
    <w:rsid w:val="008D4A54"/>
    <w:rsid w:val="008E1E9D"/>
    <w:rsid w:val="008E5B2C"/>
    <w:rsid w:val="008F2A99"/>
    <w:rsid w:val="008F754E"/>
    <w:rsid w:val="00906E64"/>
    <w:rsid w:val="0093673F"/>
    <w:rsid w:val="00955ADD"/>
    <w:rsid w:val="00960056"/>
    <w:rsid w:val="009634A7"/>
    <w:rsid w:val="0096351C"/>
    <w:rsid w:val="00965757"/>
    <w:rsid w:val="00971968"/>
    <w:rsid w:val="00972BDE"/>
    <w:rsid w:val="00993F95"/>
    <w:rsid w:val="009A4A27"/>
    <w:rsid w:val="009B099E"/>
    <w:rsid w:val="009B3D58"/>
    <w:rsid w:val="009D2B4A"/>
    <w:rsid w:val="00A1105B"/>
    <w:rsid w:val="00A30D36"/>
    <w:rsid w:val="00A50C83"/>
    <w:rsid w:val="00A52334"/>
    <w:rsid w:val="00A6733F"/>
    <w:rsid w:val="00A756FC"/>
    <w:rsid w:val="00A829E5"/>
    <w:rsid w:val="00A84D03"/>
    <w:rsid w:val="00A86FDB"/>
    <w:rsid w:val="00AA1F06"/>
    <w:rsid w:val="00AB01F8"/>
    <w:rsid w:val="00AB1EEB"/>
    <w:rsid w:val="00AB2EA5"/>
    <w:rsid w:val="00AC5025"/>
    <w:rsid w:val="00AE13B3"/>
    <w:rsid w:val="00AE5617"/>
    <w:rsid w:val="00B07CED"/>
    <w:rsid w:val="00B12901"/>
    <w:rsid w:val="00B1517A"/>
    <w:rsid w:val="00B24DBA"/>
    <w:rsid w:val="00B35092"/>
    <w:rsid w:val="00B56158"/>
    <w:rsid w:val="00B57F86"/>
    <w:rsid w:val="00B76492"/>
    <w:rsid w:val="00B802BA"/>
    <w:rsid w:val="00B82743"/>
    <w:rsid w:val="00B8292C"/>
    <w:rsid w:val="00BB5A0A"/>
    <w:rsid w:val="00BC30B2"/>
    <w:rsid w:val="00C255CA"/>
    <w:rsid w:val="00C26861"/>
    <w:rsid w:val="00C36B30"/>
    <w:rsid w:val="00C53F1D"/>
    <w:rsid w:val="00C613FE"/>
    <w:rsid w:val="00C91D6F"/>
    <w:rsid w:val="00CC2D45"/>
    <w:rsid w:val="00CC4091"/>
    <w:rsid w:val="00CD29EC"/>
    <w:rsid w:val="00CF5B1E"/>
    <w:rsid w:val="00D0104E"/>
    <w:rsid w:val="00D02AC7"/>
    <w:rsid w:val="00D02F5D"/>
    <w:rsid w:val="00D07517"/>
    <w:rsid w:val="00D075BE"/>
    <w:rsid w:val="00D155D6"/>
    <w:rsid w:val="00D15D36"/>
    <w:rsid w:val="00D20354"/>
    <w:rsid w:val="00D4344B"/>
    <w:rsid w:val="00D47FCD"/>
    <w:rsid w:val="00D57E27"/>
    <w:rsid w:val="00D60D37"/>
    <w:rsid w:val="00D850E8"/>
    <w:rsid w:val="00D94F08"/>
    <w:rsid w:val="00DB377D"/>
    <w:rsid w:val="00DE2BF1"/>
    <w:rsid w:val="00DF2358"/>
    <w:rsid w:val="00E05F67"/>
    <w:rsid w:val="00E30EFE"/>
    <w:rsid w:val="00E32C13"/>
    <w:rsid w:val="00E53F41"/>
    <w:rsid w:val="00E65DA0"/>
    <w:rsid w:val="00E72929"/>
    <w:rsid w:val="00E835D6"/>
    <w:rsid w:val="00EA735D"/>
    <w:rsid w:val="00ED3593"/>
    <w:rsid w:val="00EE1E73"/>
    <w:rsid w:val="00EF1B42"/>
    <w:rsid w:val="00EF591C"/>
    <w:rsid w:val="00F11AD8"/>
    <w:rsid w:val="00F124AB"/>
    <w:rsid w:val="00F16FB2"/>
    <w:rsid w:val="00F255EE"/>
    <w:rsid w:val="00F3447B"/>
    <w:rsid w:val="00F36171"/>
    <w:rsid w:val="00F47F31"/>
    <w:rsid w:val="00F5519F"/>
    <w:rsid w:val="00F62C84"/>
    <w:rsid w:val="00F7502B"/>
    <w:rsid w:val="00F7609D"/>
    <w:rsid w:val="00F96D33"/>
    <w:rsid w:val="00FC3E65"/>
    <w:rsid w:val="00FD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DFA3DA3"/>
  <w15:docId w15:val="{0AF32882-C2E5-431B-BF58-E927E00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16"/>
    <w:pPr>
      <w:widowControl w:val="0"/>
    </w:pPr>
    <w:rPr>
      <w:rFonts w:ascii="Letter Gothic" w:eastAsia="Times New Roman" w:hAnsi="Letter Gothic"/>
      <w:snapToGrid w:val="0"/>
      <w:sz w:val="24"/>
    </w:rPr>
  </w:style>
  <w:style w:type="paragraph" w:styleId="Heading1">
    <w:name w:val="heading 1"/>
    <w:basedOn w:val="Normal"/>
    <w:next w:val="Normal"/>
    <w:link w:val="Heading1Char"/>
    <w:uiPriority w:val="9"/>
    <w:qFormat/>
    <w:rsid w:val="00A84D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4D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04F16"/>
    <w:pPr>
      <w:keepNext/>
      <w:tabs>
        <w:tab w:val="left" w:pos="-1440"/>
      </w:tabs>
      <w:ind w:left="2160" w:hanging="2160"/>
      <w:outlineLvl w:val="3"/>
    </w:pPr>
    <w:rPr>
      <w:rFonts w:ascii="Helvetica" w:hAnsi="Helvetica" w:cs="Courier New"/>
      <w:b/>
      <w:bCs/>
    </w:rPr>
  </w:style>
  <w:style w:type="paragraph" w:styleId="Heading5">
    <w:name w:val="heading 5"/>
    <w:basedOn w:val="Normal"/>
    <w:next w:val="Normal"/>
    <w:link w:val="Heading5Char"/>
    <w:qFormat/>
    <w:rsid w:val="00704F16"/>
    <w:pPr>
      <w:keepNext/>
      <w:jc w:val="center"/>
      <w:outlineLvl w:val="4"/>
    </w:pPr>
    <w:rPr>
      <w:rFonts w:ascii="Helvetica" w:hAnsi="Helvetica" w:cs="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4F16"/>
    <w:rPr>
      <w:rFonts w:ascii="Helvetica" w:eastAsia="Times New Roman" w:hAnsi="Helvetica" w:cs="Courier New"/>
      <w:b/>
      <w:bCs/>
      <w:snapToGrid w:val="0"/>
      <w:sz w:val="24"/>
      <w:szCs w:val="20"/>
    </w:rPr>
  </w:style>
  <w:style w:type="character" w:customStyle="1" w:styleId="Heading5Char">
    <w:name w:val="Heading 5 Char"/>
    <w:basedOn w:val="DefaultParagraphFont"/>
    <w:link w:val="Heading5"/>
    <w:rsid w:val="00704F16"/>
    <w:rPr>
      <w:rFonts w:ascii="Helvetica" w:eastAsia="Times New Roman" w:hAnsi="Helvetica" w:cs="Courier New"/>
      <w:b/>
      <w:snapToGrid w:val="0"/>
      <w:sz w:val="24"/>
      <w:szCs w:val="20"/>
      <w:u w:val="single"/>
    </w:rPr>
  </w:style>
  <w:style w:type="paragraph" w:styleId="ListParagraph">
    <w:name w:val="List Paragraph"/>
    <w:basedOn w:val="Normal"/>
    <w:uiPriority w:val="34"/>
    <w:qFormat/>
    <w:rsid w:val="00C255CA"/>
    <w:pPr>
      <w:ind w:left="720"/>
      <w:contextualSpacing/>
    </w:pPr>
  </w:style>
  <w:style w:type="character" w:styleId="Hyperlink">
    <w:name w:val="Hyperlink"/>
    <w:basedOn w:val="DefaultParagraphFont"/>
    <w:rsid w:val="00522C81"/>
    <w:rPr>
      <w:color w:val="0000FF"/>
      <w:u w:val="single"/>
    </w:rPr>
  </w:style>
  <w:style w:type="character" w:styleId="FollowedHyperlink">
    <w:name w:val="FollowedHyperlink"/>
    <w:basedOn w:val="DefaultParagraphFont"/>
    <w:uiPriority w:val="99"/>
    <w:semiHidden/>
    <w:unhideWhenUsed/>
    <w:rsid w:val="008E1E9D"/>
    <w:rPr>
      <w:color w:val="800080" w:themeColor="followedHyperlink"/>
      <w:u w:val="single"/>
    </w:rPr>
  </w:style>
  <w:style w:type="character" w:styleId="CommentReference">
    <w:name w:val="annotation reference"/>
    <w:basedOn w:val="DefaultParagraphFont"/>
    <w:uiPriority w:val="99"/>
    <w:semiHidden/>
    <w:unhideWhenUsed/>
    <w:rsid w:val="008E1E9D"/>
    <w:rPr>
      <w:sz w:val="16"/>
      <w:szCs w:val="16"/>
    </w:rPr>
  </w:style>
  <w:style w:type="paragraph" w:styleId="CommentText">
    <w:name w:val="annotation text"/>
    <w:basedOn w:val="Normal"/>
    <w:link w:val="CommentTextChar"/>
    <w:uiPriority w:val="99"/>
    <w:semiHidden/>
    <w:unhideWhenUsed/>
    <w:rsid w:val="008E1E9D"/>
    <w:rPr>
      <w:sz w:val="20"/>
    </w:rPr>
  </w:style>
  <w:style w:type="character" w:customStyle="1" w:styleId="CommentTextChar">
    <w:name w:val="Comment Text Char"/>
    <w:basedOn w:val="DefaultParagraphFont"/>
    <w:link w:val="CommentText"/>
    <w:uiPriority w:val="99"/>
    <w:semiHidden/>
    <w:rsid w:val="008E1E9D"/>
    <w:rPr>
      <w:rFonts w:ascii="Letter Gothic" w:eastAsia="Times New Roman" w:hAnsi="Letter Gothic"/>
      <w:snapToGrid w:val="0"/>
    </w:rPr>
  </w:style>
  <w:style w:type="paragraph" w:styleId="CommentSubject">
    <w:name w:val="annotation subject"/>
    <w:basedOn w:val="CommentText"/>
    <w:next w:val="CommentText"/>
    <w:link w:val="CommentSubjectChar"/>
    <w:uiPriority w:val="99"/>
    <w:semiHidden/>
    <w:unhideWhenUsed/>
    <w:rsid w:val="008E1E9D"/>
    <w:rPr>
      <w:b/>
      <w:bCs/>
    </w:rPr>
  </w:style>
  <w:style w:type="character" w:customStyle="1" w:styleId="CommentSubjectChar">
    <w:name w:val="Comment Subject Char"/>
    <w:basedOn w:val="CommentTextChar"/>
    <w:link w:val="CommentSubject"/>
    <w:uiPriority w:val="99"/>
    <w:semiHidden/>
    <w:rsid w:val="008E1E9D"/>
    <w:rPr>
      <w:rFonts w:ascii="Letter Gothic" w:eastAsia="Times New Roman" w:hAnsi="Letter Gothic"/>
      <w:b/>
      <w:bCs/>
      <w:snapToGrid w:val="0"/>
    </w:rPr>
  </w:style>
  <w:style w:type="paragraph" w:styleId="BalloonText">
    <w:name w:val="Balloon Text"/>
    <w:basedOn w:val="Normal"/>
    <w:link w:val="BalloonTextChar"/>
    <w:uiPriority w:val="99"/>
    <w:semiHidden/>
    <w:unhideWhenUsed/>
    <w:rsid w:val="008E1E9D"/>
    <w:rPr>
      <w:rFonts w:ascii="Tahoma" w:hAnsi="Tahoma" w:cs="Tahoma"/>
      <w:sz w:val="16"/>
      <w:szCs w:val="16"/>
    </w:rPr>
  </w:style>
  <w:style w:type="character" w:customStyle="1" w:styleId="BalloonTextChar">
    <w:name w:val="Balloon Text Char"/>
    <w:basedOn w:val="DefaultParagraphFont"/>
    <w:link w:val="BalloonText"/>
    <w:uiPriority w:val="99"/>
    <w:semiHidden/>
    <w:rsid w:val="008E1E9D"/>
    <w:rPr>
      <w:rFonts w:ascii="Tahoma" w:eastAsia="Times New Roman" w:hAnsi="Tahoma" w:cs="Tahoma"/>
      <w:snapToGrid w:val="0"/>
      <w:sz w:val="16"/>
      <w:szCs w:val="16"/>
    </w:rPr>
  </w:style>
  <w:style w:type="paragraph" w:styleId="Header">
    <w:name w:val="header"/>
    <w:basedOn w:val="Normal"/>
    <w:link w:val="HeaderChar"/>
    <w:uiPriority w:val="99"/>
    <w:unhideWhenUsed/>
    <w:rsid w:val="00FD39C0"/>
    <w:pPr>
      <w:tabs>
        <w:tab w:val="center" w:pos="4680"/>
        <w:tab w:val="right" w:pos="9360"/>
      </w:tabs>
    </w:pPr>
  </w:style>
  <w:style w:type="character" w:customStyle="1" w:styleId="HeaderChar">
    <w:name w:val="Header Char"/>
    <w:basedOn w:val="DefaultParagraphFont"/>
    <w:link w:val="Header"/>
    <w:uiPriority w:val="99"/>
    <w:rsid w:val="00FD39C0"/>
    <w:rPr>
      <w:rFonts w:ascii="Letter Gothic" w:eastAsia="Times New Roman" w:hAnsi="Letter Gothic"/>
      <w:snapToGrid w:val="0"/>
      <w:sz w:val="24"/>
    </w:rPr>
  </w:style>
  <w:style w:type="paragraph" w:styleId="Footer">
    <w:name w:val="footer"/>
    <w:basedOn w:val="Normal"/>
    <w:link w:val="FooterChar"/>
    <w:uiPriority w:val="99"/>
    <w:unhideWhenUsed/>
    <w:rsid w:val="00FD39C0"/>
    <w:pPr>
      <w:tabs>
        <w:tab w:val="center" w:pos="4680"/>
        <w:tab w:val="right" w:pos="9360"/>
      </w:tabs>
    </w:pPr>
  </w:style>
  <w:style w:type="character" w:customStyle="1" w:styleId="FooterChar">
    <w:name w:val="Footer Char"/>
    <w:basedOn w:val="DefaultParagraphFont"/>
    <w:link w:val="Footer"/>
    <w:uiPriority w:val="99"/>
    <w:rsid w:val="00FD39C0"/>
    <w:rPr>
      <w:rFonts w:ascii="Letter Gothic" w:eastAsia="Times New Roman" w:hAnsi="Letter Gothic"/>
      <w:snapToGrid w:val="0"/>
      <w:sz w:val="24"/>
    </w:rPr>
  </w:style>
  <w:style w:type="paragraph" w:customStyle="1" w:styleId="NormalCambriablack">
    <w:name w:val="Normal + Cambria + black"/>
    <w:basedOn w:val="Normal"/>
    <w:link w:val="NormalCambriablackChar"/>
    <w:rsid w:val="008E5B2C"/>
    <w:pPr>
      <w:widowControl/>
      <w:autoSpaceDE w:val="0"/>
      <w:autoSpaceDN w:val="0"/>
      <w:adjustRightInd w:val="0"/>
    </w:pPr>
    <w:rPr>
      <w:rFonts w:ascii="Cambria" w:hAnsi="Cambria"/>
      <w:snapToGrid/>
      <w:szCs w:val="24"/>
    </w:rPr>
  </w:style>
  <w:style w:type="character" w:customStyle="1" w:styleId="NormalCambriablackChar">
    <w:name w:val="Normal + Cambria + black Char"/>
    <w:basedOn w:val="DefaultParagraphFont"/>
    <w:link w:val="NormalCambriablack"/>
    <w:rsid w:val="008E5B2C"/>
    <w:rPr>
      <w:rFonts w:ascii="Cambria" w:eastAsia="Times New Roman" w:hAnsi="Cambria"/>
      <w:sz w:val="24"/>
      <w:szCs w:val="24"/>
    </w:rPr>
  </w:style>
  <w:style w:type="paragraph" w:customStyle="1" w:styleId="Default">
    <w:name w:val="Default"/>
    <w:rsid w:val="00184A94"/>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rsid w:val="00674D4C"/>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84D03"/>
    <w:rPr>
      <w:rFonts w:asciiTheme="majorHAnsi" w:eastAsiaTheme="majorEastAsia" w:hAnsiTheme="majorHAnsi" w:cstheme="majorBidi"/>
      <w:snapToGrid w:val="0"/>
      <w:color w:val="365F91" w:themeColor="accent1" w:themeShade="BF"/>
      <w:sz w:val="32"/>
      <w:szCs w:val="32"/>
    </w:rPr>
  </w:style>
  <w:style w:type="character" w:customStyle="1" w:styleId="Heading2Char">
    <w:name w:val="Heading 2 Char"/>
    <w:basedOn w:val="DefaultParagraphFont"/>
    <w:link w:val="Heading2"/>
    <w:uiPriority w:val="9"/>
    <w:rsid w:val="00A84D03"/>
    <w:rPr>
      <w:rFonts w:asciiTheme="majorHAnsi" w:eastAsiaTheme="majorEastAsia" w:hAnsiTheme="majorHAnsi" w:cstheme="majorBidi"/>
      <w:snapToGrid w:val="0"/>
      <w:color w:val="365F91" w:themeColor="accent1" w:themeShade="BF"/>
      <w:sz w:val="26"/>
      <w:szCs w:val="26"/>
    </w:rPr>
  </w:style>
  <w:style w:type="character" w:customStyle="1" w:styleId="aqj">
    <w:name w:val="aqj"/>
    <w:basedOn w:val="DefaultParagraphFont"/>
    <w:rsid w:val="00B24DBA"/>
  </w:style>
  <w:style w:type="paragraph" w:styleId="Revision">
    <w:name w:val="Revision"/>
    <w:hidden/>
    <w:uiPriority w:val="99"/>
    <w:semiHidden/>
    <w:rsid w:val="00741291"/>
    <w:rPr>
      <w:rFonts w:ascii="Letter Gothic" w:eastAsia="Times New Roman" w:hAnsi="Letter Gothic"/>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74150">
      <w:bodyDiv w:val="1"/>
      <w:marLeft w:val="0"/>
      <w:marRight w:val="0"/>
      <w:marTop w:val="0"/>
      <w:marBottom w:val="0"/>
      <w:divBdr>
        <w:top w:val="none" w:sz="0" w:space="0" w:color="auto"/>
        <w:left w:val="none" w:sz="0" w:space="0" w:color="auto"/>
        <w:bottom w:val="none" w:sz="0" w:space="0" w:color="auto"/>
        <w:right w:val="none" w:sz="0" w:space="0" w:color="auto"/>
      </w:divBdr>
    </w:div>
    <w:div w:id="893929497">
      <w:bodyDiv w:val="1"/>
      <w:marLeft w:val="0"/>
      <w:marRight w:val="0"/>
      <w:marTop w:val="0"/>
      <w:marBottom w:val="0"/>
      <w:divBdr>
        <w:top w:val="none" w:sz="0" w:space="0" w:color="auto"/>
        <w:left w:val="none" w:sz="0" w:space="0" w:color="auto"/>
        <w:bottom w:val="none" w:sz="0" w:space="0" w:color="auto"/>
        <w:right w:val="none" w:sz="0" w:space="0" w:color="auto"/>
      </w:divBdr>
    </w:div>
    <w:div w:id="20703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11105-2C7A-4CA8-9A2D-7D82BD78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Neighborhood Assistance Tax Credit Program for Education Guidelines</vt:lpstr>
    </vt:vector>
  </TitlesOfParts>
  <Company>Virginia IT Infrastructure Partnership</Company>
  <LinksUpToDate>false</LinksUpToDate>
  <CharactersWithSpaces>14825</CharactersWithSpaces>
  <SharedDoc>false</SharedDoc>
  <HLinks>
    <vt:vector size="6" baseType="variant">
      <vt:variant>
        <vt:i4>1376295</vt:i4>
      </vt:variant>
      <vt:variant>
        <vt:i4>0</vt:i4>
      </vt:variant>
      <vt:variant>
        <vt:i4>0</vt:i4>
      </vt:variant>
      <vt:variant>
        <vt:i4>5</vt:i4>
      </vt:variant>
      <vt:variant>
        <vt:lpwstr>http://www.doe.virginia.gov/school_finance/neighborhood_assistance_act/index.shtml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Assistance Tax Credit Program for Education Guidelines</dc:title>
  <dc:creator>susan cumbia clare</dc:creator>
  <cp:lastModifiedBy>Gathje, Todd (DOE)</cp:lastModifiedBy>
  <cp:revision>6</cp:revision>
  <cp:lastPrinted>2015-06-24T19:10:00Z</cp:lastPrinted>
  <dcterms:created xsi:type="dcterms:W3CDTF">2018-06-29T17:07:00Z</dcterms:created>
  <dcterms:modified xsi:type="dcterms:W3CDTF">2018-06-29T17:29:00Z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